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71" w:rsidRDefault="00B70192" w:rsidP="00680125">
      <w:pPr>
        <w:shd w:val="clear" w:color="auto" w:fill="FFFFFF"/>
        <w:spacing w:after="200" w:line="253" w:lineRule="atLeast"/>
        <w:jc w:val="center"/>
        <w:rPr>
          <w:rFonts w:asciiTheme="majorBidi" w:eastAsia="Times New Roman" w:hAnsiTheme="majorBidi" w:cstheme="majorBidi"/>
          <w:color w:val="222222"/>
          <w:sz w:val="44"/>
          <w:szCs w:val="44"/>
          <w:lang w:eastAsia="fr-FR"/>
        </w:rPr>
      </w:pPr>
      <w:r w:rsidRPr="00FA387B">
        <w:rPr>
          <w:b/>
          <w:bCs/>
          <w:noProof/>
          <w:sz w:val="36"/>
          <w:szCs w:val="36"/>
          <w:lang w:eastAsia="fr-FR"/>
        </w:rPr>
        <w:drawing>
          <wp:inline distT="0" distB="0" distL="0" distR="0" wp14:anchorId="6B6A591D" wp14:editId="69E9A8B7">
            <wp:extent cx="2505956" cy="676275"/>
            <wp:effectExtent l="19050" t="0" r="8644" b="0"/>
            <wp:docPr id="2" name="Image 2" descr="C:\Users\tabia\Desktop\Logo 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ia\Desktop\Logo C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5545" cy="678863"/>
                    </a:xfrm>
                    <a:prstGeom prst="rect">
                      <a:avLst/>
                    </a:prstGeom>
                    <a:noFill/>
                    <a:ln>
                      <a:noFill/>
                    </a:ln>
                  </pic:spPr>
                </pic:pic>
              </a:graphicData>
            </a:graphic>
          </wp:inline>
        </w:drawing>
      </w:r>
    </w:p>
    <w:p w:rsidR="00B70192" w:rsidRDefault="00B70192" w:rsidP="00680125">
      <w:pPr>
        <w:shd w:val="clear" w:color="auto" w:fill="FFFFFF"/>
        <w:spacing w:after="200" w:line="253" w:lineRule="atLeast"/>
        <w:jc w:val="center"/>
        <w:rPr>
          <w:rFonts w:asciiTheme="majorBidi" w:eastAsia="Times New Roman" w:hAnsiTheme="majorBidi" w:cstheme="majorBidi"/>
          <w:color w:val="222222"/>
          <w:sz w:val="44"/>
          <w:szCs w:val="44"/>
          <w:lang w:eastAsia="fr-FR"/>
        </w:rPr>
      </w:pPr>
    </w:p>
    <w:p w:rsidR="005F29B4" w:rsidRPr="00D169E7" w:rsidRDefault="00680125" w:rsidP="00D169E7">
      <w:pPr>
        <w:shd w:val="clear" w:color="auto" w:fill="FFFFFF"/>
        <w:spacing w:after="200" w:line="253" w:lineRule="atLeast"/>
        <w:jc w:val="center"/>
        <w:rPr>
          <w:rFonts w:asciiTheme="majorBidi" w:eastAsia="Times New Roman" w:hAnsiTheme="majorBidi" w:cstheme="majorBidi"/>
          <w:color w:val="222222"/>
          <w:sz w:val="48"/>
          <w:szCs w:val="48"/>
          <w:lang w:eastAsia="fr-FR"/>
        </w:rPr>
      </w:pPr>
      <w:r w:rsidRPr="00E83C2F">
        <w:rPr>
          <w:rFonts w:asciiTheme="majorBidi" w:eastAsia="Times New Roman" w:hAnsiTheme="majorBidi" w:cstheme="majorBidi"/>
          <w:color w:val="222222"/>
          <w:sz w:val="48"/>
          <w:szCs w:val="48"/>
          <w:lang w:eastAsia="fr-FR"/>
        </w:rPr>
        <w:t>Communiqué de presse</w:t>
      </w:r>
    </w:p>
    <w:p w:rsidR="005F29B4" w:rsidRPr="00E83C2F" w:rsidRDefault="002475CE" w:rsidP="005F29B4">
      <w:pPr>
        <w:shd w:val="clear" w:color="auto" w:fill="FFFFFF"/>
        <w:spacing w:after="200" w:line="240" w:lineRule="auto"/>
        <w:jc w:val="center"/>
        <w:rPr>
          <w:rFonts w:asciiTheme="majorBidi" w:eastAsia="Times New Roman" w:hAnsiTheme="majorBidi" w:cstheme="majorBidi"/>
          <w:b/>
          <w:bCs/>
          <w:color w:val="222222"/>
          <w:sz w:val="28"/>
          <w:szCs w:val="28"/>
          <w:u w:val="single"/>
          <w:lang w:eastAsia="fr-FR"/>
        </w:rPr>
      </w:pPr>
      <w:r w:rsidRPr="00E83C2F">
        <w:rPr>
          <w:rFonts w:asciiTheme="majorBidi" w:eastAsia="Times New Roman" w:hAnsiTheme="majorBidi" w:cstheme="majorBidi"/>
          <w:b/>
          <w:bCs/>
          <w:color w:val="222222"/>
          <w:sz w:val="28"/>
          <w:szCs w:val="28"/>
          <w:u w:val="single"/>
          <w:lang w:eastAsia="fr-FR"/>
        </w:rPr>
        <w:t xml:space="preserve">Signature d’un mémorandum d’entente entre le Conseil de la Concurrence </w:t>
      </w:r>
    </w:p>
    <w:p w:rsidR="002475CE" w:rsidRPr="00E83C2F" w:rsidRDefault="002475CE" w:rsidP="005F29B4">
      <w:pPr>
        <w:shd w:val="clear" w:color="auto" w:fill="FFFFFF"/>
        <w:spacing w:after="200" w:line="240" w:lineRule="auto"/>
        <w:jc w:val="center"/>
        <w:rPr>
          <w:rFonts w:asciiTheme="majorBidi" w:eastAsia="Times New Roman" w:hAnsiTheme="majorBidi" w:cstheme="majorBidi"/>
          <w:b/>
          <w:bCs/>
          <w:color w:val="222222"/>
          <w:sz w:val="28"/>
          <w:szCs w:val="28"/>
          <w:u w:val="single"/>
          <w:lang w:eastAsia="fr-FR"/>
        </w:rPr>
      </w:pPr>
      <w:proofErr w:type="gramStart"/>
      <w:r w:rsidRPr="00E83C2F">
        <w:rPr>
          <w:rFonts w:asciiTheme="majorBidi" w:eastAsia="Times New Roman" w:hAnsiTheme="majorBidi" w:cstheme="majorBidi"/>
          <w:b/>
          <w:bCs/>
          <w:color w:val="222222"/>
          <w:sz w:val="28"/>
          <w:szCs w:val="28"/>
          <w:u w:val="single"/>
          <w:lang w:eastAsia="fr-FR"/>
        </w:rPr>
        <w:t>et</w:t>
      </w:r>
      <w:proofErr w:type="gramEnd"/>
      <w:r w:rsidRPr="00E83C2F">
        <w:rPr>
          <w:rFonts w:asciiTheme="majorBidi" w:eastAsia="Times New Roman" w:hAnsiTheme="majorBidi" w:cstheme="majorBidi"/>
          <w:b/>
          <w:bCs/>
          <w:color w:val="222222"/>
          <w:sz w:val="28"/>
          <w:szCs w:val="28"/>
          <w:u w:val="single"/>
          <w:lang w:eastAsia="fr-FR"/>
        </w:rPr>
        <w:t xml:space="preserve"> la Commission Hellénique de la Concurrence</w:t>
      </w:r>
    </w:p>
    <w:p w:rsidR="00680125" w:rsidRPr="00E83C2F" w:rsidRDefault="00680125" w:rsidP="006A249D">
      <w:pPr>
        <w:shd w:val="clear" w:color="auto" w:fill="FFFFFF"/>
        <w:spacing w:after="200" w:line="253" w:lineRule="atLeast"/>
        <w:rPr>
          <w:rFonts w:asciiTheme="majorBidi" w:eastAsia="Times New Roman" w:hAnsiTheme="majorBidi" w:cstheme="majorBidi"/>
          <w:color w:val="222222"/>
          <w:sz w:val="16"/>
          <w:szCs w:val="16"/>
          <w:u w:val="single"/>
          <w:lang w:eastAsia="fr-FR"/>
        </w:rPr>
      </w:pPr>
    </w:p>
    <w:p w:rsidR="006A249D" w:rsidRPr="00E83C2F" w:rsidRDefault="006A249D" w:rsidP="006A249D">
      <w:pPr>
        <w:shd w:val="clear" w:color="auto" w:fill="FFFFFF"/>
        <w:spacing w:after="200" w:line="253" w:lineRule="atLeast"/>
        <w:rPr>
          <w:rFonts w:asciiTheme="majorBidi" w:eastAsia="Times New Roman" w:hAnsiTheme="majorBidi" w:cstheme="majorBidi"/>
          <w:color w:val="222222"/>
          <w:sz w:val="28"/>
          <w:szCs w:val="28"/>
          <w:lang w:eastAsia="fr-FR"/>
        </w:rPr>
      </w:pPr>
    </w:p>
    <w:p w:rsidR="00680125" w:rsidRPr="00E83C2F" w:rsidRDefault="00E0105C" w:rsidP="00680125">
      <w:pPr>
        <w:shd w:val="clear" w:color="auto" w:fill="FFFFFF"/>
        <w:spacing w:after="200" w:line="253" w:lineRule="atLeast"/>
        <w:rPr>
          <w:rFonts w:asciiTheme="majorBidi" w:eastAsia="Times New Roman" w:hAnsiTheme="majorBidi" w:cstheme="majorBidi"/>
          <w:b/>
          <w:bCs/>
          <w:color w:val="222222"/>
          <w:sz w:val="24"/>
          <w:szCs w:val="24"/>
          <w:u w:val="single"/>
          <w:lang w:eastAsia="fr-FR"/>
        </w:rPr>
      </w:pPr>
      <w:r w:rsidRPr="00E83C2F">
        <w:rPr>
          <w:rFonts w:asciiTheme="majorBidi" w:eastAsia="Times New Roman" w:hAnsiTheme="majorBidi" w:cstheme="majorBidi"/>
          <w:b/>
          <w:bCs/>
          <w:color w:val="222222"/>
          <w:sz w:val="24"/>
          <w:szCs w:val="24"/>
          <w:u w:val="single"/>
          <w:lang w:eastAsia="fr-FR"/>
        </w:rPr>
        <w:t>Rabat, le mercredi</w:t>
      </w:r>
      <w:r w:rsidR="00680125" w:rsidRPr="00E83C2F">
        <w:rPr>
          <w:rFonts w:asciiTheme="majorBidi" w:eastAsia="Times New Roman" w:hAnsiTheme="majorBidi" w:cstheme="majorBidi"/>
          <w:b/>
          <w:bCs/>
          <w:color w:val="222222"/>
          <w:sz w:val="24"/>
          <w:szCs w:val="24"/>
          <w:u w:val="single"/>
          <w:lang w:eastAsia="fr-FR"/>
        </w:rPr>
        <w:t xml:space="preserve"> 30 mars 2022</w:t>
      </w:r>
      <w:r w:rsidR="00462F09" w:rsidRPr="00E83C2F">
        <w:rPr>
          <w:rFonts w:asciiTheme="majorBidi" w:eastAsia="Times New Roman" w:hAnsiTheme="majorBidi" w:cstheme="majorBidi"/>
          <w:b/>
          <w:bCs/>
          <w:color w:val="222222"/>
          <w:sz w:val="24"/>
          <w:szCs w:val="24"/>
          <w:u w:val="single"/>
          <w:lang w:eastAsia="fr-FR"/>
        </w:rPr>
        <w:t>,</w:t>
      </w:r>
    </w:p>
    <w:p w:rsidR="00680125" w:rsidRPr="00E83C2F" w:rsidRDefault="002475CE" w:rsidP="00680125">
      <w:pPr>
        <w:shd w:val="clear" w:color="auto" w:fill="FFFFFF"/>
        <w:spacing w:after="200" w:line="253" w:lineRule="atLeast"/>
        <w:jc w:val="both"/>
        <w:rPr>
          <w:rFonts w:asciiTheme="majorBidi" w:eastAsia="Times New Roman" w:hAnsiTheme="majorBidi" w:cstheme="majorBidi"/>
          <w:color w:val="222222"/>
          <w:sz w:val="32"/>
          <w:szCs w:val="32"/>
          <w:lang w:eastAsia="fr-FR"/>
        </w:rPr>
      </w:pPr>
      <w:r w:rsidRPr="00E83C2F">
        <w:rPr>
          <w:rFonts w:asciiTheme="majorBidi" w:eastAsia="Times New Roman" w:hAnsiTheme="majorBidi" w:cstheme="majorBidi"/>
          <w:color w:val="222222"/>
          <w:sz w:val="32"/>
          <w:szCs w:val="32"/>
          <w:lang w:eastAsia="fr-FR"/>
        </w:rPr>
        <w:t>Le Conseil de la c</w:t>
      </w:r>
      <w:r w:rsidR="00680125" w:rsidRPr="00E83C2F">
        <w:rPr>
          <w:rFonts w:asciiTheme="majorBidi" w:eastAsia="Times New Roman" w:hAnsiTheme="majorBidi" w:cstheme="majorBidi"/>
          <w:color w:val="222222"/>
          <w:sz w:val="32"/>
          <w:szCs w:val="32"/>
          <w:lang w:eastAsia="fr-FR"/>
        </w:rPr>
        <w:t xml:space="preserve">oncurrence du Royaume du Maroc </w:t>
      </w:r>
      <w:r w:rsidR="008C4035" w:rsidRPr="00E83C2F">
        <w:rPr>
          <w:rFonts w:asciiTheme="majorBidi" w:eastAsia="Times New Roman" w:hAnsiTheme="majorBidi" w:cstheme="majorBidi"/>
          <w:color w:val="222222"/>
          <w:sz w:val="32"/>
          <w:szCs w:val="32"/>
          <w:lang w:eastAsia="fr-FR"/>
        </w:rPr>
        <w:t xml:space="preserve">et </w:t>
      </w:r>
      <w:r w:rsidR="00680125" w:rsidRPr="00E83C2F">
        <w:rPr>
          <w:rFonts w:asciiTheme="majorBidi" w:eastAsia="Times New Roman" w:hAnsiTheme="majorBidi" w:cstheme="majorBidi"/>
          <w:color w:val="222222"/>
          <w:sz w:val="32"/>
          <w:szCs w:val="32"/>
          <w:lang w:eastAsia="fr-FR"/>
        </w:rPr>
        <w:t>la Commission Hellénique de la Concurrence ont procédé à la signature d’un mémorandum d’entente, le mardi 29 mars 2022, au siège du Conseil</w:t>
      </w:r>
      <w:r w:rsidR="00086711" w:rsidRPr="00E83C2F">
        <w:rPr>
          <w:rFonts w:asciiTheme="majorBidi" w:eastAsia="Times New Roman" w:hAnsiTheme="majorBidi" w:cstheme="majorBidi"/>
          <w:color w:val="222222"/>
          <w:sz w:val="32"/>
          <w:szCs w:val="32"/>
          <w:lang w:eastAsia="fr-FR"/>
        </w:rPr>
        <w:t>,</w:t>
      </w:r>
      <w:r w:rsidR="00680125" w:rsidRPr="00E83C2F">
        <w:rPr>
          <w:rFonts w:asciiTheme="majorBidi" w:eastAsia="Times New Roman" w:hAnsiTheme="majorBidi" w:cstheme="majorBidi"/>
          <w:color w:val="222222"/>
          <w:sz w:val="32"/>
          <w:szCs w:val="32"/>
          <w:lang w:eastAsia="fr-FR"/>
        </w:rPr>
        <w:t xml:space="preserve"> à Rabat.</w:t>
      </w:r>
    </w:p>
    <w:p w:rsidR="00086711" w:rsidRPr="00E83C2F" w:rsidRDefault="00680125" w:rsidP="00837131">
      <w:pPr>
        <w:shd w:val="clear" w:color="auto" w:fill="FFFFFF"/>
        <w:spacing w:after="200" w:line="253" w:lineRule="atLeast"/>
        <w:jc w:val="both"/>
        <w:rPr>
          <w:rFonts w:asciiTheme="majorBidi" w:eastAsia="Times New Roman" w:hAnsiTheme="majorBidi" w:cstheme="majorBidi"/>
          <w:color w:val="222222"/>
          <w:sz w:val="32"/>
          <w:szCs w:val="32"/>
          <w:lang w:eastAsia="fr-FR"/>
        </w:rPr>
      </w:pPr>
      <w:r w:rsidRPr="00E83C2F">
        <w:rPr>
          <w:rFonts w:asciiTheme="majorBidi" w:eastAsia="Times New Roman" w:hAnsiTheme="majorBidi" w:cstheme="majorBidi"/>
          <w:color w:val="222222"/>
          <w:sz w:val="32"/>
          <w:szCs w:val="32"/>
          <w:lang w:eastAsia="fr-FR"/>
        </w:rPr>
        <w:t>Ce mémorandum signé par Messieurs Ahmed RAHHOU</w:t>
      </w:r>
      <w:r w:rsidR="00462F09" w:rsidRPr="00E83C2F">
        <w:rPr>
          <w:rFonts w:asciiTheme="majorBidi" w:eastAsia="Times New Roman" w:hAnsiTheme="majorBidi" w:cstheme="majorBidi"/>
          <w:color w:val="222222"/>
          <w:sz w:val="32"/>
          <w:szCs w:val="32"/>
          <w:lang w:eastAsia="fr-FR"/>
        </w:rPr>
        <w:t xml:space="preserve"> </w:t>
      </w:r>
      <w:r w:rsidRPr="00E83C2F">
        <w:rPr>
          <w:rFonts w:asciiTheme="majorBidi" w:eastAsia="Times New Roman" w:hAnsiTheme="majorBidi" w:cstheme="majorBidi"/>
          <w:color w:val="222222"/>
          <w:sz w:val="32"/>
          <w:szCs w:val="32"/>
          <w:lang w:eastAsia="fr-FR"/>
        </w:rPr>
        <w:t xml:space="preserve">et </w:t>
      </w:r>
      <w:proofErr w:type="spellStart"/>
      <w:r w:rsidRPr="00E83C2F">
        <w:rPr>
          <w:rFonts w:asciiTheme="majorBidi" w:eastAsia="Times New Roman" w:hAnsiTheme="majorBidi" w:cstheme="majorBidi"/>
          <w:color w:val="222222"/>
          <w:sz w:val="32"/>
          <w:szCs w:val="32"/>
          <w:lang w:eastAsia="fr-FR"/>
        </w:rPr>
        <w:t>Ioannis</w:t>
      </w:r>
      <w:proofErr w:type="spellEnd"/>
      <w:r w:rsidRPr="00E83C2F">
        <w:rPr>
          <w:rFonts w:asciiTheme="majorBidi" w:eastAsia="Times New Roman" w:hAnsiTheme="majorBidi" w:cstheme="majorBidi"/>
          <w:color w:val="222222"/>
          <w:sz w:val="32"/>
          <w:szCs w:val="32"/>
          <w:lang w:eastAsia="fr-FR"/>
        </w:rPr>
        <w:t xml:space="preserve"> </w:t>
      </w:r>
      <w:r w:rsidR="00653771" w:rsidRPr="00E83C2F">
        <w:rPr>
          <w:rFonts w:asciiTheme="majorBidi" w:eastAsia="Times New Roman" w:hAnsiTheme="majorBidi" w:cstheme="majorBidi"/>
          <w:color w:val="222222"/>
          <w:sz w:val="32"/>
          <w:szCs w:val="32"/>
          <w:lang w:eastAsia="fr-FR"/>
        </w:rPr>
        <w:t>LIANOS, présidents</w:t>
      </w:r>
      <w:r w:rsidRPr="00E83C2F">
        <w:rPr>
          <w:rFonts w:asciiTheme="majorBidi" w:eastAsia="Times New Roman" w:hAnsiTheme="majorBidi" w:cstheme="majorBidi"/>
          <w:color w:val="222222"/>
          <w:sz w:val="32"/>
          <w:szCs w:val="32"/>
          <w:lang w:eastAsia="fr-FR"/>
        </w:rPr>
        <w:t xml:space="preserve"> des deux institutions,</w:t>
      </w:r>
      <w:r w:rsidR="002031D7" w:rsidRPr="00E83C2F">
        <w:rPr>
          <w:rFonts w:asciiTheme="majorBidi" w:eastAsia="Times New Roman" w:hAnsiTheme="majorBidi" w:cstheme="majorBidi"/>
          <w:color w:val="222222"/>
          <w:sz w:val="32"/>
          <w:szCs w:val="32"/>
          <w:lang w:eastAsia="fr-FR"/>
        </w:rPr>
        <w:t xml:space="preserve"> vient renforcer davantage</w:t>
      </w:r>
      <w:r w:rsidR="00E83C2F" w:rsidRPr="00E83C2F">
        <w:rPr>
          <w:rFonts w:asciiTheme="majorBidi" w:eastAsia="Times New Roman" w:hAnsiTheme="majorBidi" w:cstheme="majorBidi"/>
          <w:color w:val="222222"/>
          <w:sz w:val="32"/>
          <w:szCs w:val="32"/>
          <w:lang w:eastAsia="fr-FR"/>
        </w:rPr>
        <w:t xml:space="preserve"> l</w:t>
      </w:r>
      <w:r w:rsidRPr="00E83C2F">
        <w:rPr>
          <w:rFonts w:asciiTheme="majorBidi" w:eastAsia="Times New Roman" w:hAnsiTheme="majorBidi" w:cstheme="majorBidi"/>
          <w:color w:val="222222"/>
          <w:sz w:val="32"/>
          <w:szCs w:val="32"/>
          <w:lang w:eastAsia="fr-FR"/>
        </w:rPr>
        <w:t>es relations de</w:t>
      </w:r>
      <w:r w:rsidR="00E0105C" w:rsidRPr="00E83C2F">
        <w:rPr>
          <w:rFonts w:asciiTheme="majorBidi" w:eastAsia="Times New Roman" w:hAnsiTheme="majorBidi" w:cstheme="majorBidi"/>
          <w:color w:val="222222"/>
          <w:sz w:val="32"/>
          <w:szCs w:val="32"/>
          <w:lang w:eastAsia="fr-FR"/>
        </w:rPr>
        <w:t xml:space="preserve"> partenariat</w:t>
      </w:r>
      <w:r w:rsidRPr="00E83C2F">
        <w:rPr>
          <w:rFonts w:asciiTheme="majorBidi" w:eastAsia="Times New Roman" w:hAnsiTheme="majorBidi" w:cstheme="majorBidi"/>
          <w:color w:val="222222"/>
          <w:sz w:val="32"/>
          <w:szCs w:val="32"/>
          <w:lang w:eastAsia="fr-FR"/>
        </w:rPr>
        <w:t xml:space="preserve"> entre le Royaume </w:t>
      </w:r>
      <w:r w:rsidR="00255185" w:rsidRPr="00E83C2F">
        <w:rPr>
          <w:rFonts w:asciiTheme="majorBidi" w:eastAsia="Times New Roman" w:hAnsiTheme="majorBidi" w:cstheme="majorBidi"/>
          <w:color w:val="222222"/>
          <w:sz w:val="32"/>
          <w:szCs w:val="32"/>
          <w:lang w:eastAsia="fr-FR"/>
        </w:rPr>
        <w:t>du Maroc et la Républi</w:t>
      </w:r>
      <w:r w:rsidR="00086711" w:rsidRPr="00E83C2F">
        <w:rPr>
          <w:rFonts w:asciiTheme="majorBidi" w:eastAsia="Times New Roman" w:hAnsiTheme="majorBidi" w:cstheme="majorBidi"/>
          <w:color w:val="222222"/>
          <w:sz w:val="32"/>
          <w:szCs w:val="32"/>
          <w:lang w:eastAsia="fr-FR"/>
        </w:rPr>
        <w:t>que</w:t>
      </w:r>
      <w:r w:rsidR="002031D7" w:rsidRPr="00E83C2F">
        <w:rPr>
          <w:rFonts w:asciiTheme="majorBidi" w:eastAsia="Times New Roman" w:hAnsiTheme="majorBidi" w:cstheme="majorBidi"/>
          <w:color w:val="222222"/>
          <w:sz w:val="32"/>
          <w:szCs w:val="32"/>
          <w:lang w:eastAsia="fr-FR"/>
        </w:rPr>
        <w:t xml:space="preserve"> Hellénique</w:t>
      </w:r>
      <w:r w:rsidRPr="00E83C2F">
        <w:rPr>
          <w:rFonts w:asciiTheme="majorBidi" w:eastAsia="Times New Roman" w:hAnsiTheme="majorBidi" w:cstheme="majorBidi"/>
          <w:color w:val="222222"/>
          <w:sz w:val="32"/>
          <w:szCs w:val="32"/>
          <w:lang w:eastAsia="fr-FR"/>
        </w:rPr>
        <w:t>.</w:t>
      </w:r>
      <w:r w:rsidR="00086711" w:rsidRPr="00E83C2F">
        <w:rPr>
          <w:rFonts w:asciiTheme="majorBidi" w:eastAsia="Times New Roman" w:hAnsiTheme="majorBidi" w:cstheme="majorBidi"/>
          <w:color w:val="222222"/>
          <w:sz w:val="32"/>
          <w:szCs w:val="32"/>
          <w:lang w:eastAsia="fr-FR"/>
        </w:rPr>
        <w:t xml:space="preserve"> En effet, </w:t>
      </w:r>
      <w:r w:rsidR="00837131" w:rsidRPr="00E83C2F">
        <w:rPr>
          <w:rFonts w:asciiTheme="majorBidi" w:hAnsiTheme="majorBidi" w:cstheme="majorBidi"/>
          <w:color w:val="222222"/>
          <w:sz w:val="32"/>
          <w:szCs w:val="32"/>
          <w:shd w:val="clear" w:color="auto" w:fill="FFFFFF"/>
        </w:rPr>
        <w:t xml:space="preserve">à travers </w:t>
      </w:r>
      <w:r w:rsidR="00653771" w:rsidRPr="00E83C2F">
        <w:rPr>
          <w:rFonts w:asciiTheme="majorBidi" w:hAnsiTheme="majorBidi" w:cstheme="majorBidi"/>
          <w:color w:val="222222"/>
          <w:sz w:val="32"/>
          <w:szCs w:val="32"/>
          <w:shd w:val="clear" w:color="auto" w:fill="FFFFFF"/>
        </w:rPr>
        <w:t>ce mémorandum</w:t>
      </w:r>
      <w:r w:rsidR="00837131" w:rsidRPr="00E83C2F">
        <w:rPr>
          <w:rFonts w:asciiTheme="majorBidi" w:hAnsiTheme="majorBidi" w:cstheme="majorBidi"/>
          <w:color w:val="222222"/>
          <w:sz w:val="32"/>
          <w:szCs w:val="32"/>
          <w:shd w:val="clear" w:color="auto" w:fill="FFFFFF"/>
        </w:rPr>
        <w:t xml:space="preserve"> </w:t>
      </w:r>
      <w:r w:rsidR="00653771" w:rsidRPr="00E83C2F">
        <w:rPr>
          <w:rFonts w:asciiTheme="majorBidi" w:hAnsiTheme="majorBidi" w:cstheme="majorBidi"/>
          <w:color w:val="222222"/>
          <w:sz w:val="32"/>
          <w:szCs w:val="32"/>
          <w:shd w:val="clear" w:color="auto" w:fill="FFFFFF"/>
        </w:rPr>
        <w:t>d’entente, la</w:t>
      </w:r>
      <w:r w:rsidR="00086711" w:rsidRPr="00E83C2F">
        <w:rPr>
          <w:rFonts w:asciiTheme="majorBidi" w:hAnsiTheme="majorBidi" w:cstheme="majorBidi"/>
          <w:color w:val="222222"/>
          <w:sz w:val="32"/>
          <w:szCs w:val="32"/>
          <w:shd w:val="clear" w:color="auto" w:fill="FFFFFF"/>
        </w:rPr>
        <w:t xml:space="preserve"> c</w:t>
      </w:r>
      <w:r w:rsidR="00837131" w:rsidRPr="00E83C2F">
        <w:rPr>
          <w:rFonts w:asciiTheme="majorBidi" w:hAnsiTheme="majorBidi" w:cstheme="majorBidi"/>
          <w:color w:val="222222"/>
          <w:sz w:val="32"/>
          <w:szCs w:val="32"/>
          <w:shd w:val="clear" w:color="auto" w:fill="FFFFFF"/>
        </w:rPr>
        <w:t>oopération bilaté</w:t>
      </w:r>
      <w:r w:rsidR="00462F09" w:rsidRPr="00E83C2F">
        <w:rPr>
          <w:rFonts w:asciiTheme="majorBidi" w:hAnsiTheme="majorBidi" w:cstheme="majorBidi"/>
          <w:color w:val="222222"/>
          <w:sz w:val="32"/>
          <w:szCs w:val="32"/>
          <w:shd w:val="clear" w:color="auto" w:fill="FFFFFF"/>
        </w:rPr>
        <w:t>rale entre les deux instances</w:t>
      </w:r>
      <w:r w:rsidR="00837131" w:rsidRPr="00E83C2F">
        <w:rPr>
          <w:rFonts w:asciiTheme="majorBidi" w:hAnsiTheme="majorBidi" w:cstheme="majorBidi"/>
          <w:color w:val="222222"/>
          <w:sz w:val="32"/>
          <w:szCs w:val="32"/>
          <w:shd w:val="clear" w:color="auto" w:fill="FFFFFF"/>
        </w:rPr>
        <w:t xml:space="preserve"> permettra d’</w:t>
      </w:r>
      <w:r w:rsidR="00086711" w:rsidRPr="00E83C2F">
        <w:rPr>
          <w:rFonts w:asciiTheme="majorBidi" w:hAnsiTheme="majorBidi" w:cstheme="majorBidi"/>
          <w:color w:val="222222"/>
          <w:sz w:val="32"/>
          <w:szCs w:val="32"/>
          <w:shd w:val="clear" w:color="auto" w:fill="FFFFFF"/>
        </w:rPr>
        <w:t>optimiser le c</w:t>
      </w:r>
      <w:r w:rsidR="00837131" w:rsidRPr="00E83C2F">
        <w:rPr>
          <w:rFonts w:asciiTheme="majorBidi" w:hAnsiTheme="majorBidi" w:cstheme="majorBidi"/>
          <w:color w:val="222222"/>
          <w:sz w:val="32"/>
          <w:szCs w:val="32"/>
          <w:shd w:val="clear" w:color="auto" w:fill="FFFFFF"/>
        </w:rPr>
        <w:t>adre du jumelage institutionnel</w:t>
      </w:r>
      <w:r w:rsidR="00462F09" w:rsidRPr="00E83C2F">
        <w:rPr>
          <w:rFonts w:asciiTheme="majorBidi" w:hAnsiTheme="majorBidi" w:cstheme="majorBidi"/>
          <w:color w:val="222222"/>
          <w:sz w:val="32"/>
          <w:szCs w:val="32"/>
          <w:shd w:val="clear" w:color="auto" w:fill="FFFFFF"/>
        </w:rPr>
        <w:t>,</w:t>
      </w:r>
      <w:r w:rsidR="00837131" w:rsidRPr="00E83C2F">
        <w:rPr>
          <w:rFonts w:asciiTheme="majorBidi" w:hAnsiTheme="majorBidi" w:cstheme="majorBidi"/>
          <w:color w:val="222222"/>
          <w:sz w:val="32"/>
          <w:szCs w:val="32"/>
          <w:shd w:val="clear" w:color="auto" w:fill="FFFFFF"/>
        </w:rPr>
        <w:t xml:space="preserve"> </w:t>
      </w:r>
      <w:r w:rsidR="00837131" w:rsidRPr="00E83C2F">
        <w:rPr>
          <w:rFonts w:asciiTheme="majorBidi" w:hAnsiTheme="majorBidi" w:cstheme="majorBidi"/>
          <w:sz w:val="32"/>
          <w:szCs w:val="32"/>
        </w:rPr>
        <w:t>conclu entre le Conseil de la concurrence du Royaume du Maroc et un consortium composé de la Commission Hellénique de la Concurrence (Grèce), l’Autorité de Protection de la Concurrence et des Consommateurs Polonaise (Pologne) et l’Autorité Italienne de la Concurrence (Italie</w:t>
      </w:r>
      <w:r w:rsidR="00653771" w:rsidRPr="00E83C2F">
        <w:rPr>
          <w:rFonts w:asciiTheme="majorBidi" w:hAnsiTheme="majorBidi" w:cstheme="majorBidi"/>
          <w:sz w:val="32"/>
          <w:szCs w:val="32"/>
        </w:rPr>
        <w:t>)</w:t>
      </w:r>
      <w:r w:rsidR="00086711" w:rsidRPr="00E83C2F">
        <w:rPr>
          <w:rFonts w:asciiTheme="majorBidi" w:hAnsiTheme="majorBidi" w:cstheme="majorBidi"/>
          <w:color w:val="222222"/>
          <w:sz w:val="32"/>
          <w:szCs w:val="32"/>
          <w:shd w:val="clear" w:color="auto" w:fill="FFFFFF"/>
        </w:rPr>
        <w:t>. </w:t>
      </w:r>
    </w:p>
    <w:p w:rsidR="0097328F" w:rsidRPr="00E83C2F" w:rsidRDefault="00255185" w:rsidP="00E83C2F">
      <w:pPr>
        <w:shd w:val="clear" w:color="auto" w:fill="FFFFFF"/>
        <w:spacing w:after="200" w:line="253" w:lineRule="atLeast"/>
        <w:jc w:val="both"/>
        <w:rPr>
          <w:rFonts w:asciiTheme="majorBidi" w:eastAsia="Times New Roman" w:hAnsiTheme="majorBidi" w:cstheme="majorBidi"/>
          <w:color w:val="222222"/>
          <w:sz w:val="32"/>
          <w:szCs w:val="32"/>
          <w:lang w:eastAsia="fr-FR"/>
        </w:rPr>
      </w:pPr>
      <w:r w:rsidRPr="00E83C2F">
        <w:rPr>
          <w:rFonts w:asciiTheme="majorBidi" w:eastAsia="Times New Roman" w:hAnsiTheme="majorBidi" w:cstheme="majorBidi"/>
          <w:color w:val="222222"/>
          <w:sz w:val="32"/>
          <w:szCs w:val="32"/>
          <w:lang w:eastAsia="fr-FR"/>
        </w:rPr>
        <w:t xml:space="preserve">Ledit mémorandum vise à promouvoir la coopération dans les domaines de la politique et du droit de la </w:t>
      </w:r>
      <w:r w:rsidR="002031D7" w:rsidRPr="00E83C2F">
        <w:rPr>
          <w:rFonts w:asciiTheme="majorBidi" w:eastAsia="Times New Roman" w:hAnsiTheme="majorBidi" w:cstheme="majorBidi"/>
          <w:color w:val="222222"/>
          <w:sz w:val="32"/>
          <w:szCs w:val="32"/>
          <w:lang w:eastAsia="fr-FR"/>
        </w:rPr>
        <w:t>concurrence,</w:t>
      </w:r>
      <w:r w:rsidRPr="00E83C2F">
        <w:rPr>
          <w:rFonts w:asciiTheme="majorBidi" w:eastAsia="Times New Roman" w:hAnsiTheme="majorBidi" w:cstheme="majorBidi"/>
          <w:color w:val="222222"/>
          <w:sz w:val="32"/>
          <w:szCs w:val="32"/>
          <w:lang w:eastAsia="fr-FR"/>
        </w:rPr>
        <w:t xml:space="preserve"> à </w:t>
      </w:r>
      <w:r w:rsidR="00680125" w:rsidRPr="00E83C2F">
        <w:rPr>
          <w:rFonts w:asciiTheme="majorBidi" w:eastAsia="Times New Roman" w:hAnsiTheme="majorBidi" w:cstheme="majorBidi"/>
          <w:color w:val="222222"/>
          <w:sz w:val="32"/>
          <w:szCs w:val="32"/>
          <w:lang w:eastAsia="fr-FR"/>
        </w:rPr>
        <w:t xml:space="preserve">développer les </w:t>
      </w:r>
      <w:r w:rsidRPr="00E83C2F">
        <w:rPr>
          <w:rFonts w:asciiTheme="majorBidi" w:eastAsia="Times New Roman" w:hAnsiTheme="majorBidi" w:cstheme="majorBidi"/>
          <w:color w:val="222222"/>
          <w:sz w:val="32"/>
          <w:szCs w:val="32"/>
          <w:lang w:eastAsia="fr-FR"/>
        </w:rPr>
        <w:t xml:space="preserve">échanges en </w:t>
      </w:r>
      <w:r w:rsidR="002031D7" w:rsidRPr="00E83C2F">
        <w:rPr>
          <w:rFonts w:asciiTheme="majorBidi" w:eastAsia="Times New Roman" w:hAnsiTheme="majorBidi" w:cstheme="majorBidi"/>
          <w:color w:val="222222"/>
          <w:sz w:val="32"/>
          <w:szCs w:val="32"/>
          <w:lang w:eastAsia="fr-FR"/>
        </w:rPr>
        <w:t>terme</w:t>
      </w:r>
      <w:r w:rsidR="006A249D" w:rsidRPr="00E83C2F">
        <w:rPr>
          <w:rFonts w:asciiTheme="majorBidi" w:eastAsia="Times New Roman" w:hAnsiTheme="majorBidi" w:cstheme="majorBidi"/>
          <w:color w:val="222222"/>
          <w:sz w:val="32"/>
          <w:szCs w:val="32"/>
          <w:lang w:eastAsia="fr-FR"/>
        </w:rPr>
        <w:t>s</w:t>
      </w:r>
      <w:r w:rsidR="002031D7" w:rsidRPr="00E83C2F">
        <w:rPr>
          <w:rFonts w:asciiTheme="majorBidi" w:eastAsia="Times New Roman" w:hAnsiTheme="majorBidi" w:cstheme="majorBidi"/>
          <w:color w:val="222222"/>
          <w:sz w:val="32"/>
          <w:szCs w:val="32"/>
          <w:lang w:eastAsia="fr-FR"/>
        </w:rPr>
        <w:t xml:space="preserve"> d’acquis et d’expertise concernant la</w:t>
      </w:r>
      <w:r w:rsidR="00086711" w:rsidRPr="00E83C2F">
        <w:rPr>
          <w:rFonts w:asciiTheme="majorBidi" w:eastAsia="Times New Roman" w:hAnsiTheme="majorBidi" w:cstheme="majorBidi"/>
          <w:color w:val="222222"/>
          <w:sz w:val="32"/>
          <w:szCs w:val="32"/>
          <w:lang w:eastAsia="fr-FR"/>
        </w:rPr>
        <w:t xml:space="preserve"> régulation et</w:t>
      </w:r>
      <w:r w:rsidRPr="00E83C2F">
        <w:rPr>
          <w:rFonts w:asciiTheme="majorBidi" w:eastAsia="Times New Roman" w:hAnsiTheme="majorBidi" w:cstheme="majorBidi"/>
          <w:color w:val="222222"/>
          <w:sz w:val="32"/>
          <w:szCs w:val="32"/>
          <w:lang w:eastAsia="fr-FR"/>
        </w:rPr>
        <w:t xml:space="preserve"> la jurisprudence en matière du</w:t>
      </w:r>
      <w:r w:rsidR="00680125" w:rsidRPr="00E83C2F">
        <w:rPr>
          <w:rFonts w:asciiTheme="majorBidi" w:eastAsia="Times New Roman" w:hAnsiTheme="majorBidi" w:cstheme="majorBidi"/>
          <w:color w:val="222222"/>
          <w:sz w:val="32"/>
          <w:szCs w:val="32"/>
          <w:lang w:eastAsia="fr-FR"/>
        </w:rPr>
        <w:t xml:space="preserve"> droit de </w:t>
      </w:r>
      <w:r w:rsidR="002031D7" w:rsidRPr="00E83C2F">
        <w:rPr>
          <w:rFonts w:asciiTheme="majorBidi" w:eastAsia="Times New Roman" w:hAnsiTheme="majorBidi" w:cstheme="majorBidi"/>
          <w:color w:val="222222"/>
          <w:sz w:val="32"/>
          <w:szCs w:val="32"/>
          <w:lang w:eastAsia="fr-FR"/>
        </w:rPr>
        <w:t>la concurrence ainsi qu’</w:t>
      </w:r>
      <w:r w:rsidR="00680125" w:rsidRPr="00E83C2F">
        <w:rPr>
          <w:rFonts w:asciiTheme="majorBidi" w:eastAsia="Times New Roman" w:hAnsiTheme="majorBidi" w:cstheme="majorBidi"/>
          <w:color w:val="222222"/>
          <w:sz w:val="32"/>
          <w:szCs w:val="32"/>
          <w:lang w:eastAsia="fr-FR"/>
        </w:rPr>
        <w:t xml:space="preserve">à échanger les bonnes </w:t>
      </w:r>
      <w:r w:rsidR="002031D7" w:rsidRPr="00E83C2F">
        <w:rPr>
          <w:rFonts w:asciiTheme="majorBidi" w:eastAsia="Times New Roman" w:hAnsiTheme="majorBidi" w:cstheme="majorBidi"/>
          <w:color w:val="222222"/>
          <w:sz w:val="32"/>
          <w:szCs w:val="32"/>
          <w:lang w:eastAsia="fr-FR"/>
        </w:rPr>
        <w:t>pratiques ayant trait aux aspects</w:t>
      </w:r>
      <w:r w:rsidR="005F29B4" w:rsidRPr="00E83C2F">
        <w:rPr>
          <w:rFonts w:asciiTheme="majorBidi" w:eastAsia="Times New Roman" w:hAnsiTheme="majorBidi" w:cstheme="majorBidi"/>
          <w:color w:val="222222"/>
          <w:sz w:val="32"/>
          <w:szCs w:val="32"/>
          <w:lang w:eastAsia="fr-FR"/>
        </w:rPr>
        <w:t xml:space="preserve"> procéduraux, </w:t>
      </w:r>
      <w:r w:rsidR="002031D7" w:rsidRPr="00E83C2F">
        <w:rPr>
          <w:rFonts w:asciiTheme="majorBidi" w:eastAsia="Times New Roman" w:hAnsiTheme="majorBidi" w:cstheme="majorBidi"/>
          <w:color w:val="222222"/>
          <w:sz w:val="32"/>
          <w:szCs w:val="32"/>
          <w:lang w:eastAsia="fr-FR"/>
        </w:rPr>
        <w:t>méthodologiques</w:t>
      </w:r>
      <w:r w:rsidR="005F29B4" w:rsidRPr="00E83C2F">
        <w:rPr>
          <w:rFonts w:asciiTheme="majorBidi" w:eastAsia="Times New Roman" w:hAnsiTheme="majorBidi" w:cstheme="majorBidi"/>
          <w:color w:val="222222"/>
          <w:sz w:val="32"/>
          <w:szCs w:val="32"/>
          <w:lang w:eastAsia="fr-FR"/>
        </w:rPr>
        <w:t xml:space="preserve"> et techniques</w:t>
      </w:r>
      <w:r w:rsidR="002031D7" w:rsidRPr="00E83C2F">
        <w:rPr>
          <w:rFonts w:asciiTheme="majorBidi" w:eastAsia="Times New Roman" w:hAnsiTheme="majorBidi" w:cstheme="majorBidi"/>
          <w:color w:val="222222"/>
          <w:sz w:val="32"/>
          <w:szCs w:val="32"/>
          <w:lang w:eastAsia="fr-FR"/>
        </w:rPr>
        <w:t xml:space="preserve"> d’instructions, d’enquêtes et de</w:t>
      </w:r>
      <w:r w:rsidR="00680125" w:rsidRPr="00E83C2F">
        <w:rPr>
          <w:rFonts w:asciiTheme="majorBidi" w:eastAsia="Times New Roman" w:hAnsiTheme="majorBidi" w:cstheme="majorBidi"/>
          <w:color w:val="222222"/>
          <w:sz w:val="32"/>
          <w:szCs w:val="32"/>
          <w:lang w:eastAsia="fr-FR"/>
        </w:rPr>
        <w:t xml:space="preserve"> réali</w:t>
      </w:r>
      <w:r w:rsidR="00E83C2F">
        <w:rPr>
          <w:rFonts w:asciiTheme="majorBidi" w:eastAsia="Times New Roman" w:hAnsiTheme="majorBidi" w:cstheme="majorBidi"/>
          <w:color w:val="222222"/>
          <w:sz w:val="32"/>
          <w:szCs w:val="32"/>
          <w:lang w:eastAsia="fr-FR"/>
        </w:rPr>
        <w:t>sations des études sectorielles.</w:t>
      </w:r>
      <w:bookmarkStart w:id="0" w:name="_GoBack"/>
      <w:bookmarkEnd w:id="0"/>
    </w:p>
    <w:sectPr w:rsidR="0097328F" w:rsidRPr="00E83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25"/>
    <w:rsid w:val="00086711"/>
    <w:rsid w:val="00144275"/>
    <w:rsid w:val="002031D7"/>
    <w:rsid w:val="002475CE"/>
    <w:rsid w:val="00255185"/>
    <w:rsid w:val="002D3273"/>
    <w:rsid w:val="00462F09"/>
    <w:rsid w:val="005F29B4"/>
    <w:rsid w:val="00653771"/>
    <w:rsid w:val="00680125"/>
    <w:rsid w:val="006A249D"/>
    <w:rsid w:val="0070196F"/>
    <w:rsid w:val="00837131"/>
    <w:rsid w:val="008C4035"/>
    <w:rsid w:val="0097328F"/>
    <w:rsid w:val="00B70192"/>
    <w:rsid w:val="00D169E7"/>
    <w:rsid w:val="00E0105C"/>
    <w:rsid w:val="00E83C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45C2"/>
  <w15:chartTrackingRefBased/>
  <w15:docId w15:val="{218B1C3C-106C-4212-85E9-E42E07C3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F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2022-03-28T17:28:00Z</cp:lastPrinted>
  <dcterms:created xsi:type="dcterms:W3CDTF">2022-03-30T08:42:00Z</dcterms:created>
  <dcterms:modified xsi:type="dcterms:W3CDTF">2022-03-30T08:43:00Z</dcterms:modified>
</cp:coreProperties>
</file>