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801B4" w14:textId="77777777" w:rsidR="00A73098" w:rsidRDefault="00A73098">
      <w:pPr>
        <w:pStyle w:val="Standard"/>
        <w:jc w:val="both"/>
        <w:rPr>
          <w:rFonts w:ascii="Arial" w:hAnsi="Arial"/>
          <w:lang w:val="en-US"/>
        </w:rPr>
      </w:pPr>
    </w:p>
    <w:p w14:paraId="17063002" w14:textId="21983CA3" w:rsidR="00A73098" w:rsidRPr="00300283" w:rsidRDefault="00300283">
      <w:pPr>
        <w:pStyle w:val="Standard"/>
        <w:jc w:val="both"/>
        <w:rPr>
          <w:b/>
          <w:bCs/>
          <w:lang w:val="fr-MA"/>
        </w:rPr>
      </w:pPr>
      <w:r w:rsidRPr="00300283">
        <w:rPr>
          <w:rFonts w:ascii="Arial" w:hAnsi="Arial"/>
          <w:b/>
          <w:bCs/>
          <w:lang w:val="fr-MA"/>
        </w:rPr>
        <w:t xml:space="preserve">9 </w:t>
      </w:r>
      <w:r w:rsidR="000C2FF1" w:rsidRPr="00300283">
        <w:rPr>
          <w:rFonts w:ascii="Arial" w:hAnsi="Arial"/>
          <w:b/>
          <w:bCs/>
          <w:lang w:val="fr-MA"/>
        </w:rPr>
        <w:t xml:space="preserve"> </w:t>
      </w:r>
      <w:r w:rsidR="00DE271D">
        <w:rPr>
          <w:rFonts w:ascii="Arial" w:hAnsi="Arial"/>
          <w:b/>
          <w:bCs/>
          <w:lang w:val="fr-MA"/>
        </w:rPr>
        <w:t>Décembre</w:t>
      </w:r>
      <w:bookmarkStart w:id="0" w:name="_GoBack"/>
      <w:bookmarkEnd w:id="0"/>
      <w:r w:rsidRPr="00300283">
        <w:rPr>
          <w:rFonts w:ascii="Arial" w:hAnsi="Arial"/>
          <w:b/>
          <w:bCs/>
          <w:lang w:val="fr-MA"/>
        </w:rPr>
        <w:t xml:space="preserve"> 2021</w:t>
      </w:r>
      <w:r w:rsidR="000C2FF1" w:rsidRPr="00300283">
        <w:rPr>
          <w:rFonts w:ascii="Arial" w:hAnsi="Arial"/>
          <w:b/>
          <w:bCs/>
          <w:lang w:val="fr-MA"/>
        </w:rPr>
        <w:t xml:space="preserve"> </w:t>
      </w:r>
    </w:p>
    <w:p w14:paraId="636C797E" w14:textId="77777777" w:rsidR="00A73098" w:rsidRPr="00587B07" w:rsidRDefault="00A73098">
      <w:pPr>
        <w:pStyle w:val="Standard"/>
        <w:jc w:val="both"/>
        <w:rPr>
          <w:rFonts w:ascii="Arial" w:hAnsi="Arial"/>
          <w:b/>
          <w:iCs/>
          <w:sz w:val="24"/>
          <w:szCs w:val="24"/>
          <w:lang w:val="fr-MA"/>
        </w:rPr>
      </w:pPr>
    </w:p>
    <w:p w14:paraId="5BFE06B9" w14:textId="63ED8483" w:rsidR="00B6115E" w:rsidRDefault="000C2FF1">
      <w:pPr>
        <w:pStyle w:val="Standard"/>
        <w:jc w:val="center"/>
        <w:rPr>
          <w:rFonts w:ascii="Arial" w:hAnsi="Arial"/>
          <w:b/>
          <w:bCs/>
          <w:i/>
          <w:iCs/>
          <w:sz w:val="24"/>
          <w:szCs w:val="24"/>
          <w:lang w:val="fr-MA"/>
        </w:rPr>
      </w:pPr>
      <w:r>
        <w:rPr>
          <w:rFonts w:ascii="Arial" w:hAnsi="Arial"/>
          <w:b/>
          <w:bCs/>
          <w:i/>
          <w:iCs/>
          <w:sz w:val="24"/>
          <w:szCs w:val="24"/>
          <w:lang w:val="fr-MA"/>
        </w:rPr>
        <w:t>La combinaison d'anticorps à action prolongée Evusheld (anciennement connue sous l’appellation AZD7442) vient d’être autorisée en urgence aux États-Unis pour</w:t>
      </w:r>
      <w:r w:rsidR="00B6115E">
        <w:rPr>
          <w:rFonts w:ascii="Arial" w:hAnsi="Arial"/>
          <w:b/>
          <w:bCs/>
          <w:i/>
          <w:iCs/>
          <w:sz w:val="24"/>
          <w:szCs w:val="24"/>
          <w:lang w:val="fr-MA"/>
        </w:rPr>
        <w:t xml:space="preserve"> la prévention contre le COVID-19</w:t>
      </w:r>
    </w:p>
    <w:p w14:paraId="279BF3F7" w14:textId="2A0183A9" w:rsidR="0097675C" w:rsidRPr="00B6115E" w:rsidRDefault="000C2FF1">
      <w:pPr>
        <w:pStyle w:val="Standard"/>
        <w:jc w:val="center"/>
        <w:rPr>
          <w:rFonts w:ascii="Arial" w:hAnsi="Arial"/>
          <w:b/>
          <w:bCs/>
          <w:i/>
          <w:iCs/>
          <w:sz w:val="24"/>
          <w:szCs w:val="24"/>
          <w:shd w:val="clear" w:color="auto" w:fill="FFFF00"/>
          <w:lang w:val="fr-MA"/>
        </w:rPr>
      </w:pPr>
      <w:r>
        <w:rPr>
          <w:rFonts w:ascii="Arial" w:hAnsi="Arial"/>
          <w:b/>
          <w:bCs/>
          <w:i/>
          <w:iCs/>
          <w:sz w:val="24"/>
          <w:szCs w:val="24"/>
          <w:lang w:val="fr-MA"/>
        </w:rPr>
        <w:t xml:space="preserve"> </w:t>
      </w:r>
    </w:p>
    <w:p w14:paraId="19B65426" w14:textId="323147CB" w:rsidR="00A73098" w:rsidRPr="00B6115E" w:rsidRDefault="000C2FF1">
      <w:pPr>
        <w:pStyle w:val="Standard"/>
        <w:jc w:val="center"/>
        <w:rPr>
          <w:lang w:val="fr-MA"/>
        </w:rPr>
      </w:pPr>
      <w:r w:rsidRPr="00B6115E">
        <w:rPr>
          <w:rFonts w:ascii="Arial" w:hAnsi="Arial"/>
          <w:b/>
          <w:bCs/>
          <w:i/>
          <w:iCs/>
          <w:sz w:val="24"/>
          <w:szCs w:val="24"/>
          <w:lang w:val="fr-MA"/>
        </w:rPr>
        <w:t xml:space="preserve"> </w:t>
      </w:r>
    </w:p>
    <w:p w14:paraId="02C6E5C3" w14:textId="0B1A75E2" w:rsidR="00A73098" w:rsidRPr="00587B07" w:rsidRDefault="000C2FF1">
      <w:pPr>
        <w:pStyle w:val="Standard"/>
        <w:jc w:val="center"/>
        <w:rPr>
          <w:lang w:val="fr-MA"/>
        </w:rPr>
      </w:pPr>
      <w:r w:rsidRPr="00B6115E">
        <w:rPr>
          <w:rFonts w:ascii="Arial" w:hAnsi="Arial"/>
          <w:b/>
          <w:bCs/>
          <w:i/>
          <w:iCs/>
          <w:lang w:val="fr-MA"/>
        </w:rPr>
        <w:t>Il s’agit du seul traitement par anticorps à avoir été autorisé aux États-Unis pou</w:t>
      </w:r>
      <w:r w:rsidR="00B6115E">
        <w:rPr>
          <w:rFonts w:ascii="Arial" w:hAnsi="Arial"/>
          <w:b/>
          <w:bCs/>
          <w:i/>
          <w:iCs/>
          <w:lang w:val="fr-MA"/>
        </w:rPr>
        <w:t xml:space="preserve">r la prévention. </w:t>
      </w:r>
    </w:p>
    <w:p w14:paraId="236926E9" w14:textId="77777777" w:rsidR="00A73098" w:rsidRDefault="00A73098">
      <w:pPr>
        <w:pStyle w:val="Standard"/>
        <w:jc w:val="center"/>
        <w:rPr>
          <w:rFonts w:ascii="Arial" w:hAnsi="Arial"/>
          <w:b/>
          <w:bCs/>
          <w:i/>
          <w:iCs/>
          <w:sz w:val="24"/>
          <w:szCs w:val="24"/>
          <w:lang w:val="fr-MA"/>
        </w:rPr>
      </w:pPr>
    </w:p>
    <w:p w14:paraId="14066D8D" w14:textId="0C3B46B7" w:rsidR="00A73098" w:rsidRPr="00587B07" w:rsidRDefault="000C2FF1">
      <w:pPr>
        <w:pStyle w:val="Standard"/>
        <w:jc w:val="center"/>
        <w:rPr>
          <w:lang w:val="fr-MA"/>
        </w:rPr>
      </w:pPr>
      <w:r>
        <w:rPr>
          <w:rFonts w:ascii="Arial" w:hAnsi="Arial"/>
          <w:b/>
          <w:bCs/>
          <w:i/>
          <w:iCs/>
          <w:lang w:val="fr-MA"/>
        </w:rPr>
        <w:t xml:space="preserve">Les données obtenues à l’issue de la phase III des tests liés à ce traitement ont démontré une protection </w:t>
      </w:r>
      <w:r w:rsidR="0097675C" w:rsidRPr="0097675C">
        <w:rPr>
          <w:rFonts w:ascii="Arial" w:hAnsi="Arial"/>
          <w:b/>
          <w:bCs/>
          <w:i/>
          <w:iCs/>
          <w:lang w:val="fr-MA"/>
        </w:rPr>
        <w:t>robuste et des résultats à long terme</w:t>
      </w:r>
      <w:r>
        <w:rPr>
          <w:rFonts w:ascii="Arial" w:hAnsi="Arial"/>
          <w:b/>
          <w:bCs/>
          <w:i/>
          <w:iCs/>
          <w:lang w:val="fr-MA"/>
        </w:rPr>
        <w:t xml:space="preserve"> (suite à l’administration d’une dose unique à des participants présentant de hauts risques de contamination)</w:t>
      </w:r>
    </w:p>
    <w:p w14:paraId="55A5677A" w14:textId="77777777" w:rsidR="00A73098" w:rsidRDefault="00A73098">
      <w:pPr>
        <w:pStyle w:val="Standard"/>
        <w:jc w:val="center"/>
        <w:rPr>
          <w:rFonts w:ascii="Arial" w:hAnsi="Arial"/>
          <w:b/>
          <w:bCs/>
          <w:i/>
          <w:iCs/>
          <w:sz w:val="24"/>
          <w:szCs w:val="24"/>
          <w:lang w:val="fr-MA"/>
        </w:rPr>
      </w:pPr>
    </w:p>
    <w:p w14:paraId="457FA86F" w14:textId="7E2DBEC1" w:rsidR="00A73098" w:rsidRPr="00587B07" w:rsidRDefault="000C2FF1">
      <w:pPr>
        <w:pStyle w:val="Standard"/>
        <w:spacing w:line="276" w:lineRule="auto"/>
        <w:jc w:val="center"/>
        <w:rPr>
          <w:lang w:val="fr-MA"/>
        </w:rPr>
      </w:pPr>
      <w:r>
        <w:rPr>
          <w:rFonts w:ascii="Arial" w:hAnsi="Arial"/>
          <w:b/>
          <w:bCs/>
          <w:i/>
          <w:iCs/>
          <w:lang w:val="fr-MA"/>
        </w:rPr>
        <w:t>Les données préliminaires suggèrent qu</w:t>
      </w:r>
      <w:r w:rsidR="0064141C">
        <w:rPr>
          <w:rFonts w:ascii="Arial" w:hAnsi="Arial"/>
          <w:b/>
          <w:bCs/>
          <w:i/>
          <w:iCs/>
          <w:lang w:val="fr-MA"/>
        </w:rPr>
        <w:t>’</w:t>
      </w:r>
      <w:r>
        <w:rPr>
          <w:rFonts w:ascii="Arial" w:hAnsi="Arial"/>
          <w:b/>
          <w:bCs/>
          <w:i/>
          <w:iCs/>
          <w:lang w:val="fr-MA"/>
        </w:rPr>
        <w:t>Evusheld est également efficace contre l</w:t>
      </w:r>
      <w:r w:rsidR="00B9538B">
        <w:rPr>
          <w:rFonts w:ascii="Arial" w:hAnsi="Arial"/>
          <w:b/>
          <w:bCs/>
          <w:i/>
          <w:iCs/>
          <w:lang w:val="fr-MA"/>
        </w:rPr>
        <w:t>e</w:t>
      </w:r>
      <w:r>
        <w:rPr>
          <w:rFonts w:ascii="Arial" w:hAnsi="Arial"/>
          <w:b/>
          <w:bCs/>
          <w:i/>
          <w:iCs/>
          <w:lang w:val="fr-MA"/>
        </w:rPr>
        <w:t xml:space="preserve"> variant Omicron.</w:t>
      </w:r>
    </w:p>
    <w:p w14:paraId="4D6D807E" w14:textId="77777777" w:rsidR="00A73098" w:rsidRDefault="00A73098">
      <w:pPr>
        <w:pStyle w:val="Standard"/>
        <w:spacing w:line="276" w:lineRule="auto"/>
        <w:jc w:val="both"/>
        <w:rPr>
          <w:lang w:val="fr-MA"/>
        </w:rPr>
      </w:pPr>
    </w:p>
    <w:p w14:paraId="7CE73743" w14:textId="7786755D" w:rsidR="00A73098" w:rsidRPr="00587B07" w:rsidRDefault="000C2FF1">
      <w:pPr>
        <w:pStyle w:val="Standard"/>
        <w:spacing w:line="276" w:lineRule="auto"/>
        <w:jc w:val="both"/>
        <w:rPr>
          <w:lang w:val="fr-MA"/>
        </w:rPr>
      </w:pPr>
      <w:r>
        <w:rPr>
          <w:rFonts w:ascii="Arial" w:hAnsi="Arial"/>
          <w:lang w:val="fr-MA"/>
        </w:rPr>
        <w:t>Le traitement</w:t>
      </w:r>
      <w:r w:rsidRPr="5E64AE9C">
        <w:rPr>
          <w:rFonts w:ascii="Arial" w:hAnsi="Arial"/>
          <w:i/>
          <w:iCs/>
          <w:lang w:val="fr-MA"/>
        </w:rPr>
        <w:t xml:space="preserve"> Evusheld</w:t>
      </w:r>
      <w:r>
        <w:rPr>
          <w:rFonts w:ascii="Arial" w:hAnsi="Arial"/>
          <w:lang w:val="fr-MA"/>
        </w:rPr>
        <w:t xml:space="preserve"> d'AstraZeneca (tixagevimab associé au cilgavimab), qui est une combinaison d'anticorps à action prolongée (LAAB), vient d’être autorisé en urgence (EUA) aux États-Unis pour </w:t>
      </w:r>
      <w:r w:rsidR="0097675C" w:rsidRPr="0097675C">
        <w:rPr>
          <w:rFonts w:ascii="Arial" w:hAnsi="Arial"/>
          <w:lang w:val="fr-MA"/>
        </w:rPr>
        <w:t xml:space="preserve">la prévention </w:t>
      </w:r>
      <w:r w:rsidR="0066259C">
        <w:rPr>
          <w:rFonts w:ascii="Arial" w:hAnsi="Arial"/>
          <w:lang w:val="fr-MA"/>
        </w:rPr>
        <w:t>contre</w:t>
      </w:r>
      <w:r w:rsidR="0097675C" w:rsidRPr="0097675C">
        <w:rPr>
          <w:rFonts w:ascii="Arial" w:hAnsi="Arial"/>
          <w:lang w:val="fr-MA"/>
        </w:rPr>
        <w:t xml:space="preserve"> COVID-19</w:t>
      </w:r>
      <w:r>
        <w:rPr>
          <w:rFonts w:ascii="Arial" w:hAnsi="Arial"/>
          <w:lang w:val="fr-MA"/>
        </w:rPr>
        <w:t>. Les premières doses de ce traitement seront disponibles prochainement.</w:t>
      </w:r>
    </w:p>
    <w:p w14:paraId="4D400F35" w14:textId="77777777" w:rsidR="00A73098" w:rsidRDefault="00A73098">
      <w:pPr>
        <w:pStyle w:val="Standard"/>
        <w:spacing w:line="276" w:lineRule="auto"/>
        <w:jc w:val="both"/>
        <w:rPr>
          <w:rFonts w:ascii="Arial" w:hAnsi="Arial"/>
          <w:lang w:val="fr-MA"/>
        </w:rPr>
      </w:pPr>
    </w:p>
    <w:p w14:paraId="10B95998" w14:textId="39047295" w:rsidR="0097675C" w:rsidRPr="0097675C" w:rsidRDefault="004B0E86" w:rsidP="0097675C">
      <w:pPr>
        <w:pStyle w:val="Standard"/>
        <w:jc w:val="both"/>
        <w:rPr>
          <w:rFonts w:ascii="Arial" w:hAnsi="Arial"/>
          <w:lang w:val="fr-MA"/>
        </w:rPr>
      </w:pPr>
      <w:r w:rsidRPr="5E64AE9C">
        <w:rPr>
          <w:rFonts w:ascii="Arial" w:hAnsi="Arial"/>
          <w:i/>
          <w:iCs/>
          <w:lang w:val="fr-MA"/>
        </w:rPr>
        <w:t xml:space="preserve">The </w:t>
      </w:r>
      <w:r w:rsidR="000C2FF1" w:rsidRPr="5E64AE9C">
        <w:rPr>
          <w:rFonts w:ascii="Arial" w:hAnsi="Arial"/>
          <w:i/>
          <w:iCs/>
          <w:lang w:val="fr-MA"/>
        </w:rPr>
        <w:t>Food and Drug Administration</w:t>
      </w:r>
      <w:r w:rsidR="000C2FF1">
        <w:rPr>
          <w:rFonts w:ascii="Arial" w:hAnsi="Arial"/>
          <w:lang w:val="fr-MA"/>
        </w:rPr>
        <w:t xml:space="preserve"> (FDA) a ainsi autorisé </w:t>
      </w:r>
      <w:r w:rsidR="000C2FF1" w:rsidRPr="5E64AE9C">
        <w:rPr>
          <w:rFonts w:ascii="Arial" w:hAnsi="Arial"/>
          <w:i/>
          <w:iCs/>
          <w:lang w:val="fr-MA"/>
        </w:rPr>
        <w:t>Evusheld</w:t>
      </w:r>
      <w:r w:rsidR="000C2FF1">
        <w:rPr>
          <w:rFonts w:ascii="Arial" w:hAnsi="Arial"/>
          <w:lang w:val="fr-MA"/>
        </w:rPr>
        <w:t xml:space="preserve"> pour </w:t>
      </w:r>
      <w:r w:rsidR="0097675C" w:rsidRPr="0097675C">
        <w:rPr>
          <w:rFonts w:ascii="Arial" w:hAnsi="Arial"/>
          <w:lang w:val="fr-MA"/>
        </w:rPr>
        <w:t>la prévention de l'exposition au COVID-19 chez les adultes et les adolescents (âgés de 12 ans et plus et pesant 40 kg ou plus) avec une immunité modérée à sévère due à une condition médicale ou à des médicaments immunosuppresseurs et qui pourraient ne pas présenter une réponse immunitaire adéquate à la vaccination par le COVID-19, de même que les individus pour lesquels cette dernière n'est pas recommandée.</w:t>
      </w:r>
      <w:r w:rsidR="0066259C" w:rsidRPr="0066259C">
        <w:rPr>
          <w:rFonts w:ascii="Arial" w:hAnsi="Arial"/>
          <w:lang w:val="fr-MA"/>
        </w:rPr>
        <w:t xml:space="preserve"> Les bénéficiaires ne devraient pas être actuellement infectés ou avoir eu une exposition récente avérée à une personne infectée par le SRAS-CoV-2.</w:t>
      </w:r>
    </w:p>
    <w:p w14:paraId="31AED53E" w14:textId="77777777" w:rsidR="0097675C" w:rsidRPr="0097675C" w:rsidRDefault="0097675C" w:rsidP="0097675C">
      <w:pPr>
        <w:pStyle w:val="Standard"/>
        <w:jc w:val="both"/>
        <w:rPr>
          <w:rFonts w:ascii="Arial" w:hAnsi="Arial"/>
          <w:lang w:val="fr-MA"/>
        </w:rPr>
      </w:pPr>
    </w:p>
    <w:p w14:paraId="2C60E1E8" w14:textId="77777777" w:rsidR="00A73098" w:rsidRDefault="00A73098">
      <w:pPr>
        <w:pStyle w:val="Standard"/>
        <w:spacing w:line="276" w:lineRule="auto"/>
        <w:jc w:val="both"/>
        <w:rPr>
          <w:rFonts w:ascii="Arial" w:hAnsi="Arial"/>
          <w:lang w:val="fr-MA"/>
        </w:rPr>
      </w:pPr>
    </w:p>
    <w:p w14:paraId="1BC75979" w14:textId="09FBEE45" w:rsidR="00A73098" w:rsidRPr="00B9538B" w:rsidRDefault="000C2FF1">
      <w:pPr>
        <w:pStyle w:val="Standard"/>
        <w:spacing w:line="276" w:lineRule="auto"/>
        <w:jc w:val="both"/>
        <w:rPr>
          <w:lang w:val="fr-FR"/>
        </w:rPr>
      </w:pPr>
      <w:r>
        <w:rPr>
          <w:rFonts w:ascii="Arial" w:hAnsi="Arial"/>
          <w:lang w:val="fr-MA"/>
        </w:rPr>
        <w:t>Myron J. Levin, MD, professeur de pédiatrie et de médecine à l'école de médecine de l'Université du Colorado (États-Unis) et investigateur principal dans le cadre de l'essai PROVENT, a déclaré: "</w:t>
      </w:r>
      <w:r>
        <w:rPr>
          <w:rFonts w:ascii="Arial" w:hAnsi="Arial"/>
          <w:i/>
          <w:iCs/>
          <w:lang w:val="fr-MA"/>
        </w:rPr>
        <w:t>Des millions de personnes aux Etats-Unis et dans le monde entier demeurent toujours autant exposées à un risque sérieux de contracter le COVID-19, en raison de leur système immunitaire qui ne génère pas de réponse immunitaire suffisante, et ce même après avoir reçu toutes les doses recommandées de vaccin. Je suis enthousiaste quant à l'autorisation d</w:t>
      </w:r>
      <w:r w:rsidR="0064141C">
        <w:rPr>
          <w:rFonts w:ascii="Arial" w:hAnsi="Arial"/>
          <w:i/>
          <w:iCs/>
          <w:lang w:val="fr-MA"/>
        </w:rPr>
        <w:t>’</w:t>
      </w:r>
      <w:r>
        <w:rPr>
          <w:rFonts w:ascii="Arial" w:hAnsi="Arial"/>
          <w:i/>
          <w:iCs/>
          <w:lang w:val="fr-MA"/>
        </w:rPr>
        <w:t>Evusheld aux Etats Unis. Ce traitement par anticorps est très facile à administrer et offre une protection durable qui est à même de permettre à ces personnes de retrouver une vie normale.</w:t>
      </w:r>
      <w:r>
        <w:rPr>
          <w:rFonts w:ascii="Arial" w:hAnsi="Arial"/>
          <w:lang w:val="fr-MA"/>
        </w:rPr>
        <w:t>"</w:t>
      </w:r>
    </w:p>
    <w:p w14:paraId="49C048C7" w14:textId="77777777" w:rsidR="00A73098" w:rsidRDefault="00A73098">
      <w:pPr>
        <w:pStyle w:val="Standard"/>
        <w:spacing w:line="276" w:lineRule="auto"/>
        <w:jc w:val="both"/>
        <w:rPr>
          <w:rFonts w:ascii="Arial" w:hAnsi="Arial"/>
          <w:lang w:val="fr-MA"/>
        </w:rPr>
      </w:pPr>
    </w:p>
    <w:p w14:paraId="70B4E19E" w14:textId="5B5F7570" w:rsidR="00A73098" w:rsidRPr="00B9538B" w:rsidRDefault="000C2FF1">
      <w:pPr>
        <w:pStyle w:val="Standard"/>
        <w:jc w:val="both"/>
        <w:rPr>
          <w:lang w:val="fr-FR"/>
        </w:rPr>
      </w:pPr>
      <w:r>
        <w:rPr>
          <w:rFonts w:ascii="Arial" w:hAnsi="Arial"/>
          <w:lang w:val="fr-MA"/>
        </w:rPr>
        <w:t>Pour sa part, Mene Pangalos, Vice-président exécutif, R&amp;D BioPharmaceutique, AstraZeneca, a déclaré : "</w:t>
      </w:r>
      <w:r>
        <w:rPr>
          <w:rFonts w:ascii="Arial" w:hAnsi="Arial"/>
          <w:i/>
          <w:iCs/>
          <w:lang w:val="fr-MA"/>
        </w:rPr>
        <w:t>Nous sommes fiers de jouer un rôle de premier plan dans la lutte contre la pandémie de COVID-19. Grâce à Evusheld, nous allons pouvoir avoir désormais accès à la première thérapie par anticorps autorisée aux États-Unis et qui permettra de lutter beaucoup plus efficacement contre l</w:t>
      </w:r>
      <w:r w:rsidR="00B9538B">
        <w:rPr>
          <w:rFonts w:ascii="Arial" w:hAnsi="Arial"/>
          <w:i/>
          <w:iCs/>
          <w:lang w:val="fr-MA"/>
        </w:rPr>
        <w:t>e</w:t>
      </w:r>
      <w:r>
        <w:rPr>
          <w:rFonts w:ascii="Arial" w:hAnsi="Arial"/>
          <w:i/>
          <w:iCs/>
          <w:lang w:val="fr-MA"/>
        </w:rPr>
        <w:t xml:space="preserve"> COVID-19. </w:t>
      </w:r>
      <w:r w:rsidR="0066259C" w:rsidRPr="0066259C">
        <w:rPr>
          <w:rFonts w:ascii="Arial" w:hAnsi="Arial"/>
          <w:i/>
          <w:iCs/>
          <w:lang w:val="fr-MA"/>
        </w:rPr>
        <w:t xml:space="preserve">A ce jour, Evusheld neutralise toutes les variantes du SARs-CoV-2, et nous œuvrons rapidement pour établir son efficacité contre la </w:t>
      </w:r>
      <w:r w:rsidR="0066259C" w:rsidRPr="0066259C">
        <w:rPr>
          <w:rFonts w:ascii="Arial" w:hAnsi="Arial"/>
          <w:i/>
          <w:iCs/>
          <w:lang w:val="fr-MA"/>
        </w:rPr>
        <w:lastRenderedPageBreak/>
        <w:t>nouvelle variante Omicron</w:t>
      </w:r>
      <w:r>
        <w:rPr>
          <w:rFonts w:ascii="Arial" w:hAnsi="Arial"/>
          <w:i/>
          <w:iCs/>
          <w:lang w:val="fr-MA"/>
        </w:rPr>
        <w:t>.</w:t>
      </w:r>
      <w:r w:rsidR="0066259C">
        <w:rPr>
          <w:rFonts w:ascii="Arial" w:hAnsi="Arial"/>
          <w:i/>
          <w:iCs/>
          <w:lang w:val="fr-MA"/>
        </w:rPr>
        <w:t xml:space="preserve"> </w:t>
      </w:r>
      <w:r>
        <w:rPr>
          <w:rFonts w:ascii="Arial" w:hAnsi="Arial"/>
          <w:i/>
          <w:iCs/>
          <w:lang w:val="fr-MA"/>
        </w:rPr>
        <w:t>Nous remercions les participants à nos essais cliniques, mais aussi les investigateurs, les scientifiques et les agences gouvernementales, ainsi que nos collègues d'AstraZeneca, qui ont tous contribué au développement d'Evusheld.</w:t>
      </w:r>
      <w:r>
        <w:rPr>
          <w:rFonts w:ascii="Arial" w:hAnsi="Arial"/>
          <w:lang w:val="fr-MA"/>
        </w:rPr>
        <w:t>"</w:t>
      </w:r>
    </w:p>
    <w:p w14:paraId="664056BE" w14:textId="77777777" w:rsidR="00A73098" w:rsidRDefault="00A73098">
      <w:pPr>
        <w:pStyle w:val="Standard"/>
        <w:spacing w:line="276" w:lineRule="auto"/>
        <w:jc w:val="both"/>
        <w:rPr>
          <w:rFonts w:ascii="Arial" w:hAnsi="Arial"/>
          <w:lang w:val="fr-MA"/>
        </w:rPr>
      </w:pPr>
    </w:p>
    <w:p w14:paraId="4D4CAA0A" w14:textId="77777777" w:rsidR="00A73098" w:rsidRPr="00B9538B" w:rsidRDefault="000C2FF1">
      <w:pPr>
        <w:pStyle w:val="Standard"/>
        <w:spacing w:line="276" w:lineRule="auto"/>
        <w:jc w:val="both"/>
        <w:rPr>
          <w:lang w:val="fr-FR"/>
        </w:rPr>
      </w:pPr>
      <w:r>
        <w:rPr>
          <w:rFonts w:ascii="Arial" w:hAnsi="Arial"/>
          <w:lang w:val="fr-MA"/>
        </w:rPr>
        <w:t>De son côté, Brian Koffman, MDCM (retraité), MS Ed, cofondateur, vice-président exécutif et directeur médical de la CLL (Chronic Lymphocytic Leukemia) Society, États-Unis, a déclaré : "</w:t>
      </w:r>
      <w:r>
        <w:rPr>
          <w:rFonts w:ascii="Arial" w:hAnsi="Arial"/>
          <w:i/>
          <w:iCs/>
          <w:lang w:val="fr-MA"/>
        </w:rPr>
        <w:t>L'une des principales questions que me posent sans cesse les patients est la suivante : "Quand pourrai-je à nouveau câliner mes petits-enfants ?". En tant que médecin et personne</w:t>
      </w:r>
      <w:r>
        <w:rPr>
          <w:rFonts w:ascii="Arial" w:hAnsi="Arial"/>
          <w:lang w:val="fr-MA"/>
        </w:rPr>
        <w:t xml:space="preserve"> </w:t>
      </w:r>
      <w:r>
        <w:rPr>
          <w:rFonts w:ascii="Arial" w:hAnsi="Arial"/>
          <w:i/>
          <w:iCs/>
          <w:lang w:val="fr-MA"/>
        </w:rPr>
        <w:t>dont le système immunitaire est affaibli, je suis rempli d'espoir maintenant qu'Evusheld est là. Ce traitement permettra à tous ceux qui ne peuvent pas compter sur la vaccination seule d’avoir toute la protection dont ils ont besoin</w:t>
      </w:r>
      <w:r>
        <w:rPr>
          <w:rFonts w:ascii="Arial" w:hAnsi="Arial"/>
          <w:lang w:val="fr-MA"/>
        </w:rPr>
        <w:t>."</w:t>
      </w:r>
    </w:p>
    <w:p w14:paraId="11241482" w14:textId="77777777" w:rsidR="00A73098" w:rsidRDefault="00A73098">
      <w:pPr>
        <w:pStyle w:val="Standard"/>
        <w:spacing w:line="276" w:lineRule="auto"/>
        <w:jc w:val="both"/>
        <w:rPr>
          <w:rFonts w:ascii="Arial" w:hAnsi="Arial"/>
          <w:i/>
          <w:iCs/>
          <w:lang w:val="fr-MA"/>
        </w:rPr>
      </w:pPr>
    </w:p>
    <w:p w14:paraId="30336EA8" w14:textId="4527538E" w:rsidR="00A73098" w:rsidRPr="00B9538B" w:rsidRDefault="000C2FF1">
      <w:pPr>
        <w:pStyle w:val="Standard"/>
        <w:spacing w:line="276" w:lineRule="auto"/>
        <w:jc w:val="both"/>
        <w:rPr>
          <w:lang w:val="fr-FR"/>
        </w:rPr>
      </w:pPr>
      <w:r>
        <w:rPr>
          <w:rFonts w:ascii="Arial" w:hAnsi="Arial"/>
          <w:i/>
          <w:iCs/>
          <w:lang w:val="fr-MA"/>
        </w:rPr>
        <w:t>Evusheld</w:t>
      </w:r>
      <w:r>
        <w:rPr>
          <w:rFonts w:ascii="Arial" w:hAnsi="Arial"/>
          <w:lang w:val="fr-MA"/>
        </w:rPr>
        <w:t xml:space="preserve"> est une combinaison de deux anticorps monoclonaux à action prolongée; il s’agit du seul traitement par anticorps autorisé aux États-Unis pour la prévention contre l</w:t>
      </w:r>
      <w:r w:rsidR="00B9538B">
        <w:rPr>
          <w:rFonts w:ascii="Arial" w:hAnsi="Arial"/>
          <w:lang w:val="fr-MA"/>
        </w:rPr>
        <w:t>e</w:t>
      </w:r>
      <w:r>
        <w:rPr>
          <w:rFonts w:ascii="Arial" w:hAnsi="Arial"/>
          <w:lang w:val="fr-MA"/>
        </w:rPr>
        <w:t xml:space="preserve"> COVID-19. Il est</w:t>
      </w:r>
      <w:r w:rsidR="0066259C">
        <w:rPr>
          <w:rFonts w:ascii="Arial" w:hAnsi="Arial"/>
          <w:lang w:val="fr-MA"/>
        </w:rPr>
        <w:t xml:space="preserve"> aussi le seul anticorps contre le virus</w:t>
      </w:r>
      <w:r>
        <w:rPr>
          <w:rFonts w:ascii="Arial" w:hAnsi="Arial"/>
          <w:lang w:val="fr-MA"/>
        </w:rPr>
        <w:t xml:space="preserve"> </w:t>
      </w:r>
      <w:r w:rsidR="0066259C">
        <w:rPr>
          <w:rFonts w:ascii="Arial" w:hAnsi="Arial"/>
          <w:lang w:val="fr-MA"/>
        </w:rPr>
        <w:t>administré par voie</w:t>
      </w:r>
      <w:r>
        <w:rPr>
          <w:rFonts w:ascii="Arial" w:hAnsi="Arial"/>
          <w:lang w:val="fr-MA"/>
        </w:rPr>
        <w:t xml:space="preserve"> intramusculaire (150 mg de tixagevimab et 150 mg de cilgavimab)</w:t>
      </w:r>
      <w:r w:rsidR="0066259C">
        <w:rPr>
          <w:rFonts w:ascii="Arial" w:hAnsi="Arial"/>
          <w:lang w:val="fr-MA"/>
        </w:rPr>
        <w:t>.</w:t>
      </w:r>
    </w:p>
    <w:p w14:paraId="06E94FEE" w14:textId="77777777" w:rsidR="0066259C" w:rsidRPr="00B9538B" w:rsidRDefault="0066259C">
      <w:pPr>
        <w:pStyle w:val="Standard"/>
        <w:spacing w:line="276" w:lineRule="auto"/>
        <w:jc w:val="both"/>
        <w:rPr>
          <w:lang w:val="fr-FR"/>
        </w:rPr>
      </w:pPr>
      <w:bookmarkStart w:id="1" w:name="_Hlk86052930"/>
      <w:bookmarkEnd w:id="1"/>
    </w:p>
    <w:p w14:paraId="7F5A2A1A" w14:textId="77777777" w:rsidR="00A73098" w:rsidRPr="00B9538B" w:rsidRDefault="000C2FF1">
      <w:pPr>
        <w:pStyle w:val="Standard"/>
        <w:spacing w:line="276" w:lineRule="auto"/>
        <w:jc w:val="both"/>
        <w:rPr>
          <w:lang w:val="fr-FR"/>
        </w:rPr>
      </w:pPr>
      <w:r>
        <w:rPr>
          <w:rFonts w:ascii="Arial" w:hAnsi="Arial"/>
          <w:lang w:val="fr-MA"/>
        </w:rPr>
        <w:t>Environ 2 % de la population mondiale présente un risque accru de réponse inadéquate aux vaccins COVID-19</w:t>
      </w:r>
      <w:r>
        <w:rPr>
          <w:rFonts w:ascii="Arial" w:hAnsi="Arial"/>
          <w:vertAlign w:val="superscript"/>
          <w:lang w:val="fr-MA"/>
        </w:rPr>
        <w:t>.1-2</w:t>
      </w:r>
      <w:r>
        <w:rPr>
          <w:rFonts w:ascii="Arial" w:hAnsi="Arial"/>
          <w:lang w:val="fr-MA"/>
        </w:rPr>
        <w:t xml:space="preserve"> Il s'agit notamment des personnes atteintes de cancers du sang ou d'autres cancers traités par chimiothérapie, des patients sous dialyse et de ceux qui prennent des médicaments après une transplantation d'organe ou qui prennent des médicaments immunosuppresseurs pour des affections telles que la sclérose en plaques et la polyarthrite rhumatoïde</w:t>
      </w:r>
      <w:r>
        <w:rPr>
          <w:rFonts w:ascii="Arial" w:hAnsi="Arial"/>
          <w:vertAlign w:val="superscript"/>
          <w:lang w:val="fr-MA"/>
        </w:rPr>
        <w:t>3-7</w:t>
      </w:r>
    </w:p>
    <w:p w14:paraId="410E2E2B" w14:textId="77777777" w:rsidR="00A73098" w:rsidRPr="00B9538B" w:rsidRDefault="00A73098">
      <w:pPr>
        <w:pStyle w:val="Standard"/>
        <w:spacing w:line="276" w:lineRule="auto"/>
        <w:jc w:val="both"/>
        <w:rPr>
          <w:lang w:val="fr-FR"/>
        </w:rPr>
      </w:pPr>
    </w:p>
    <w:p w14:paraId="580DF1E0" w14:textId="515DCE3B" w:rsidR="00A73098" w:rsidRPr="00B9538B" w:rsidRDefault="000C2FF1">
      <w:pPr>
        <w:pStyle w:val="Standard"/>
        <w:spacing w:line="276" w:lineRule="auto"/>
        <w:jc w:val="both"/>
        <w:rPr>
          <w:lang w:val="fr-FR"/>
        </w:rPr>
      </w:pPr>
      <w:r>
        <w:rPr>
          <w:rFonts w:ascii="Arial" w:hAnsi="Arial"/>
          <w:lang w:val="fr-MA"/>
        </w:rPr>
        <w:t>Evusheld a été très bien toléré suite à tous les essais qui ont été réalisés. Les données primaires obtenues à l’issue de la phase III des tests effectués par PROVENT démontrent une réduction statistiquement significative (77% à l'analyse primaire, 83% à l'analyse médiane à six mois) du risque de développer une affection à la COVID-19 symptomatique (par rapport au placebo), avec une protection contre le virus se poursuivant pendant au moins six mois après l’administration d</w:t>
      </w:r>
      <w:r w:rsidR="0064141C">
        <w:rPr>
          <w:rFonts w:ascii="Arial" w:hAnsi="Arial"/>
          <w:lang w:val="fr-MA"/>
        </w:rPr>
        <w:t>’</w:t>
      </w:r>
      <w:r>
        <w:rPr>
          <w:rFonts w:ascii="Arial" w:hAnsi="Arial"/>
          <w:i/>
          <w:iCs/>
          <w:lang w:val="fr-MA"/>
        </w:rPr>
        <w:t>Evusheld</w:t>
      </w:r>
      <w:r>
        <w:rPr>
          <w:rFonts w:ascii="Arial" w:hAnsi="Arial"/>
          <w:lang w:val="fr-MA"/>
        </w:rPr>
        <w:t xml:space="preserve">. </w:t>
      </w:r>
      <w:r w:rsidR="00B6115E" w:rsidRPr="00B6115E">
        <w:rPr>
          <w:rFonts w:ascii="Arial" w:hAnsi="Arial"/>
          <w:lang w:val="fr-MA"/>
        </w:rPr>
        <w:t>Un suivi accru est nécessaire pour établir la durée totale de la protection fournie par Evusheld.</w:t>
      </w:r>
      <w:r w:rsidR="00B6115E">
        <w:rPr>
          <w:rFonts w:ascii="Arial" w:hAnsi="Arial"/>
          <w:lang w:val="fr-MA"/>
        </w:rPr>
        <w:t xml:space="preserve"> </w:t>
      </w:r>
      <w:r>
        <w:rPr>
          <w:rFonts w:ascii="Arial" w:hAnsi="Arial"/>
          <w:lang w:val="fr-MA"/>
        </w:rPr>
        <w:t xml:space="preserve">Les données de l'essai post-exposition de phase III STORM CHASER et de l'essai de phase I </w:t>
      </w:r>
      <w:r>
        <w:rPr>
          <w:rFonts w:ascii="Arial" w:hAnsi="Arial"/>
          <w:i/>
          <w:iCs/>
          <w:lang w:val="fr-MA"/>
        </w:rPr>
        <w:t>Evusheld</w:t>
      </w:r>
      <w:r>
        <w:rPr>
          <w:rFonts w:ascii="Arial" w:hAnsi="Arial"/>
          <w:lang w:val="fr-MA"/>
        </w:rPr>
        <w:t xml:space="preserve"> ont également été très probants.</w:t>
      </w:r>
    </w:p>
    <w:p w14:paraId="152FED44" w14:textId="77777777" w:rsidR="00B6115E" w:rsidRDefault="00B6115E">
      <w:pPr>
        <w:pStyle w:val="Standard"/>
        <w:spacing w:line="276" w:lineRule="auto"/>
        <w:jc w:val="both"/>
        <w:rPr>
          <w:rFonts w:ascii="Arial" w:hAnsi="Arial"/>
          <w:lang w:val="fr-MA"/>
        </w:rPr>
      </w:pPr>
    </w:p>
    <w:p w14:paraId="2D66F161" w14:textId="44A6AD81" w:rsidR="00B6115E" w:rsidRDefault="00B6115E" w:rsidP="00B6115E">
      <w:pPr>
        <w:pStyle w:val="Standard"/>
        <w:spacing w:line="276" w:lineRule="auto"/>
        <w:jc w:val="both"/>
        <w:rPr>
          <w:rFonts w:ascii="Arial" w:hAnsi="Arial"/>
          <w:b/>
          <w:bCs/>
          <w:i/>
          <w:iCs/>
          <w:lang w:val="fr-MA"/>
        </w:rPr>
      </w:pPr>
      <w:r w:rsidRPr="00B6115E">
        <w:rPr>
          <w:rFonts w:ascii="Arial" w:hAnsi="Arial"/>
          <w:b/>
          <w:bCs/>
          <w:i/>
          <w:iCs/>
          <w:lang w:val="fr-MA"/>
        </w:rPr>
        <w:t>Evusheld et les variantes du SRAS-CoV-2</w:t>
      </w:r>
    </w:p>
    <w:p w14:paraId="495B1950" w14:textId="77777777" w:rsidR="00B6115E" w:rsidRPr="00B6115E" w:rsidRDefault="00B6115E" w:rsidP="00B6115E">
      <w:pPr>
        <w:pStyle w:val="Standard"/>
        <w:spacing w:line="276" w:lineRule="auto"/>
        <w:jc w:val="both"/>
        <w:rPr>
          <w:rFonts w:ascii="Arial" w:hAnsi="Arial"/>
          <w:b/>
          <w:bCs/>
          <w:i/>
          <w:iCs/>
          <w:lang w:val="fr-MA"/>
        </w:rPr>
      </w:pPr>
    </w:p>
    <w:p w14:paraId="6146EBBB" w14:textId="282EA54D" w:rsidR="00B6115E" w:rsidRPr="00B6115E" w:rsidRDefault="00B6115E" w:rsidP="00B6115E">
      <w:pPr>
        <w:pStyle w:val="Standard"/>
        <w:spacing w:line="276" w:lineRule="auto"/>
        <w:jc w:val="both"/>
        <w:rPr>
          <w:rFonts w:ascii="Arial" w:hAnsi="Arial"/>
          <w:lang w:val="fr-MA"/>
        </w:rPr>
      </w:pPr>
      <w:r w:rsidRPr="00B6115E">
        <w:rPr>
          <w:rFonts w:ascii="Arial" w:hAnsi="Arial"/>
          <w:lang w:val="fr-MA"/>
        </w:rPr>
        <w:t>Des études sont en cours pour fournir des informations sur l'impact de la nouvelle variante Omicron (B.1.1.529) sur Evusheld. En effet, aucune des substitutions du site de liaison Omicron pertinentes pour Evusheld qui ont été testées à ce jour dans des essais précliniques n'a été associée à un échappement à la neutralisation d'Evusheld.Les résultats obtenus en laboratoire démontrent qu'Evusheld neutralise d'autres variantes virales émergentes récentes du SRAS-CoV-2, y compris les variantes Delta et Mu.</w:t>
      </w:r>
    </w:p>
    <w:p w14:paraId="4C839AB5" w14:textId="77777777" w:rsidR="00A73098" w:rsidRDefault="00A73098">
      <w:pPr>
        <w:pStyle w:val="Standard"/>
        <w:spacing w:line="276" w:lineRule="auto"/>
        <w:jc w:val="both"/>
        <w:rPr>
          <w:rFonts w:ascii="Arial" w:hAnsi="Arial"/>
          <w:lang w:val="fr-MA"/>
        </w:rPr>
      </w:pPr>
    </w:p>
    <w:p w14:paraId="6FD2ECA4" w14:textId="77777777" w:rsidR="00A73098" w:rsidRPr="00B9538B" w:rsidRDefault="000C2FF1">
      <w:pPr>
        <w:pStyle w:val="Standard"/>
        <w:spacing w:line="276" w:lineRule="auto"/>
        <w:jc w:val="both"/>
        <w:rPr>
          <w:lang w:val="fr-FR"/>
        </w:rPr>
      </w:pPr>
      <w:r>
        <w:rPr>
          <w:rFonts w:ascii="Arial" w:hAnsi="Arial"/>
          <w:i/>
          <w:iCs/>
          <w:lang w:val="fr-MA"/>
        </w:rPr>
        <w:t>Evusheld</w:t>
      </w:r>
      <w:r>
        <w:rPr>
          <w:rFonts w:ascii="Arial" w:hAnsi="Arial"/>
          <w:lang w:val="fr-MA"/>
        </w:rPr>
        <w:t xml:space="preserve"> est développé avec le soutien du gouvernement américain, y compris des fonds fédéraux provenant du ministère de la Santé et des Services sociaux, du Bureau du secrétaire adjoint pour la préparation et la réponse, de la Biomedical Advanced Research and Development Authority, en partenariat avec le ministère de la Défense, du Joint Program </w:t>
      </w:r>
      <w:r>
        <w:rPr>
          <w:rFonts w:ascii="Arial" w:hAnsi="Arial"/>
          <w:lang w:val="fr-MA"/>
        </w:rPr>
        <w:lastRenderedPageBreak/>
        <w:t>Executive Office for Chemical, Biological, Radiological and Nuclear Defense, dans le cadre du contrat n° W911QY-21-9-0001.</w:t>
      </w:r>
    </w:p>
    <w:p w14:paraId="09CD3615" w14:textId="77777777" w:rsidR="00A73098" w:rsidRDefault="00A73098">
      <w:pPr>
        <w:pStyle w:val="Standard"/>
        <w:spacing w:line="276" w:lineRule="auto"/>
        <w:jc w:val="both"/>
        <w:rPr>
          <w:rFonts w:ascii="Arial" w:hAnsi="Arial"/>
          <w:lang w:val="fr-MA"/>
        </w:rPr>
      </w:pPr>
    </w:p>
    <w:p w14:paraId="20A089B0" w14:textId="69D3856D" w:rsidR="00A73098" w:rsidRPr="00B9538B" w:rsidRDefault="000C2FF1">
      <w:pPr>
        <w:pStyle w:val="Standard"/>
        <w:spacing w:line="276" w:lineRule="auto"/>
        <w:jc w:val="both"/>
        <w:rPr>
          <w:lang w:val="fr-FR"/>
        </w:rPr>
      </w:pPr>
      <w:r w:rsidRPr="5E64AE9C">
        <w:rPr>
          <w:rFonts w:ascii="Arial" w:hAnsi="Arial"/>
          <w:lang w:val="fr-MA"/>
        </w:rPr>
        <w:t xml:space="preserve">S’exprimant à ce sujet, Rami Scandar, </w:t>
      </w:r>
      <w:r w:rsidR="0064141C" w:rsidRPr="5E64AE9C">
        <w:rPr>
          <w:rFonts w:ascii="Arial" w:hAnsi="Arial"/>
          <w:lang w:val="fr-MA"/>
        </w:rPr>
        <w:t>P</w:t>
      </w:r>
      <w:r w:rsidRPr="5E64AE9C">
        <w:rPr>
          <w:rFonts w:ascii="Arial" w:hAnsi="Arial"/>
          <w:lang w:val="fr-MA"/>
        </w:rPr>
        <w:t>rési</w:t>
      </w:r>
      <w:r w:rsidR="0064141C" w:rsidRPr="5E64AE9C">
        <w:rPr>
          <w:rFonts w:ascii="Arial" w:hAnsi="Arial"/>
          <w:lang w:val="fr-MA"/>
        </w:rPr>
        <w:t>dent</w:t>
      </w:r>
      <w:r w:rsidRPr="5E64AE9C">
        <w:rPr>
          <w:rFonts w:ascii="Arial" w:hAnsi="Arial"/>
          <w:lang w:val="fr-MA"/>
        </w:rPr>
        <w:t>, Proche-Orient et Maghreb, AstraZeneca, a déclaré: "</w:t>
      </w:r>
      <w:r w:rsidR="0064141C" w:rsidRPr="5E64AE9C">
        <w:rPr>
          <w:rFonts w:ascii="Arial" w:hAnsi="Arial"/>
          <w:i/>
          <w:iCs/>
          <w:lang w:val="fr-MA"/>
        </w:rPr>
        <w:t>L</w:t>
      </w:r>
      <w:r w:rsidRPr="5E64AE9C">
        <w:rPr>
          <w:rFonts w:ascii="Arial" w:hAnsi="Arial"/>
          <w:i/>
          <w:iCs/>
          <w:lang w:val="fr-MA"/>
        </w:rPr>
        <w:t xml:space="preserve">'approbation par </w:t>
      </w:r>
      <w:r w:rsidR="00077BF4" w:rsidRPr="5E64AE9C">
        <w:rPr>
          <w:rFonts w:ascii="Arial" w:hAnsi="Arial"/>
          <w:i/>
          <w:iCs/>
          <w:lang w:val="fr-MA"/>
        </w:rPr>
        <w:t>The</w:t>
      </w:r>
      <w:r w:rsidRPr="5E64AE9C">
        <w:rPr>
          <w:rFonts w:ascii="Arial" w:hAnsi="Arial"/>
          <w:i/>
          <w:iCs/>
          <w:lang w:val="fr-MA"/>
        </w:rPr>
        <w:t xml:space="preserve"> Food and Drug Administration américaine d</w:t>
      </w:r>
      <w:r w:rsidR="0064141C" w:rsidRPr="5E64AE9C">
        <w:rPr>
          <w:rFonts w:ascii="Arial" w:hAnsi="Arial"/>
          <w:i/>
          <w:iCs/>
          <w:lang w:val="fr-MA"/>
        </w:rPr>
        <w:t>’</w:t>
      </w:r>
      <w:r w:rsidRPr="5E64AE9C">
        <w:rPr>
          <w:rFonts w:ascii="Arial" w:hAnsi="Arial"/>
          <w:i/>
          <w:iCs/>
          <w:lang w:val="fr-MA"/>
        </w:rPr>
        <w:t>Evusheld (anciennement AZD7442) pour la prévention du COVID-19 est une étape importante. Nous nous réjouissons de cette nouvelle et de l'opportunité qu'elle nous offre de pouvoir répondre aux besoins non satisfaits des patients les plus vulnérables. Les données récentes de l'essai de phase III PROVENT ont démontré toute l'efficacité d</w:t>
      </w:r>
      <w:r w:rsidR="0064141C" w:rsidRPr="5E64AE9C">
        <w:rPr>
          <w:rFonts w:ascii="Arial" w:hAnsi="Arial"/>
          <w:i/>
          <w:iCs/>
          <w:lang w:val="fr-MA"/>
        </w:rPr>
        <w:t>’</w:t>
      </w:r>
      <w:r w:rsidRPr="5E64AE9C">
        <w:rPr>
          <w:rFonts w:ascii="Arial" w:hAnsi="Arial"/>
          <w:i/>
          <w:iCs/>
          <w:lang w:val="fr-MA"/>
        </w:rPr>
        <w:t>Evusheld ainsi que la capacité de protection qu’il est capable d’offrir auprès de patients à haut risque et immunodéprimés.</w:t>
      </w:r>
      <w:r w:rsidRPr="5E64AE9C">
        <w:rPr>
          <w:rFonts w:ascii="Arial" w:hAnsi="Arial"/>
          <w:lang w:val="fr-MA"/>
        </w:rPr>
        <w:t>"</w:t>
      </w:r>
    </w:p>
    <w:p w14:paraId="49CEF868" w14:textId="77777777" w:rsidR="00A73098" w:rsidRDefault="00A73098">
      <w:pPr>
        <w:pStyle w:val="Standard"/>
        <w:spacing w:line="276" w:lineRule="auto"/>
        <w:jc w:val="both"/>
        <w:rPr>
          <w:rFonts w:ascii="Arial" w:hAnsi="Arial"/>
          <w:lang w:val="fr-MA"/>
        </w:rPr>
      </w:pPr>
    </w:p>
    <w:p w14:paraId="241C94F6" w14:textId="77777777" w:rsidR="00A73098" w:rsidRPr="00B9538B" w:rsidRDefault="000C2FF1">
      <w:pPr>
        <w:pStyle w:val="Standard"/>
        <w:spacing w:line="276" w:lineRule="auto"/>
        <w:jc w:val="both"/>
        <w:rPr>
          <w:lang w:val="fr-FR"/>
        </w:rPr>
      </w:pPr>
      <w:r>
        <w:rPr>
          <w:rFonts w:ascii="Arial" w:hAnsi="Arial"/>
          <w:lang w:val="fr-MA"/>
        </w:rPr>
        <w:t>AstraZeneca a accepté de fournir au gouvernement américain 700 000 doses d'</w:t>
      </w:r>
      <w:r>
        <w:rPr>
          <w:rFonts w:ascii="Arial" w:hAnsi="Arial"/>
          <w:i/>
          <w:iCs/>
          <w:lang w:val="fr-MA"/>
        </w:rPr>
        <w:t>Evusheld</w:t>
      </w:r>
      <w:r>
        <w:rPr>
          <w:rFonts w:ascii="Arial" w:hAnsi="Arial"/>
          <w:lang w:val="fr-MA"/>
        </w:rPr>
        <w:t>. Ces premières doses d'</w:t>
      </w:r>
      <w:r>
        <w:rPr>
          <w:rFonts w:ascii="Arial" w:hAnsi="Arial"/>
          <w:i/>
          <w:iCs/>
          <w:lang w:val="fr-MA"/>
        </w:rPr>
        <w:t>Evusheld</w:t>
      </w:r>
      <w:r>
        <w:rPr>
          <w:rFonts w:ascii="Arial" w:hAnsi="Arial"/>
          <w:lang w:val="fr-MA"/>
        </w:rPr>
        <w:t xml:space="preserve"> seront disponibles gratuitement pour les patients éligibles dans le cadre d'un programme spécifique financé par le gouvernement.    </w:t>
      </w:r>
    </w:p>
    <w:p w14:paraId="778B5969" w14:textId="77777777" w:rsidR="00A73098" w:rsidRDefault="00A73098">
      <w:pPr>
        <w:pStyle w:val="Standard"/>
        <w:spacing w:line="276" w:lineRule="auto"/>
        <w:jc w:val="both"/>
        <w:rPr>
          <w:rFonts w:ascii="Arial" w:hAnsi="Arial"/>
          <w:lang w:val="fr-MA"/>
        </w:rPr>
      </w:pPr>
    </w:p>
    <w:p w14:paraId="37F20C41" w14:textId="1385B8B8" w:rsidR="00A73098" w:rsidRPr="00B9538B" w:rsidRDefault="000C2FF1">
      <w:pPr>
        <w:pStyle w:val="Standard"/>
        <w:spacing w:line="276" w:lineRule="auto"/>
        <w:jc w:val="both"/>
        <w:rPr>
          <w:lang w:val="fr-FR"/>
        </w:rPr>
      </w:pPr>
      <w:r w:rsidRPr="5E64AE9C">
        <w:rPr>
          <w:rFonts w:ascii="Arial" w:hAnsi="Arial"/>
          <w:lang w:val="fr-MA"/>
        </w:rPr>
        <w:t xml:space="preserve">AstraZeneca </w:t>
      </w:r>
      <w:r w:rsidR="00077BF4" w:rsidRPr="5E64AE9C">
        <w:rPr>
          <w:rFonts w:ascii="Arial" w:hAnsi="Arial"/>
          <w:lang w:val="fr-MA"/>
        </w:rPr>
        <w:t xml:space="preserve">avance </w:t>
      </w:r>
      <w:r w:rsidRPr="5E64AE9C">
        <w:rPr>
          <w:rFonts w:ascii="Arial" w:hAnsi="Arial"/>
          <w:lang w:val="fr-MA"/>
        </w:rPr>
        <w:t>dans le dépôt de dossiers à travers le monde entier, et ce en vue d'obtenir des autorisations d'utilisation d'urgence ou des approbations conditionnelles d'</w:t>
      </w:r>
      <w:r w:rsidRPr="5E64AE9C">
        <w:rPr>
          <w:rFonts w:ascii="Arial" w:hAnsi="Arial"/>
          <w:i/>
          <w:iCs/>
          <w:lang w:val="fr-MA"/>
        </w:rPr>
        <w:t>Evusheld</w:t>
      </w:r>
      <w:r w:rsidRPr="5E64AE9C">
        <w:rPr>
          <w:rFonts w:ascii="Arial" w:hAnsi="Arial"/>
          <w:lang w:val="fr-MA"/>
        </w:rPr>
        <w:t>.</w:t>
      </w:r>
    </w:p>
    <w:p w14:paraId="5BCCDDDF" w14:textId="77777777" w:rsidR="00A73098" w:rsidRDefault="00A73098">
      <w:pPr>
        <w:pStyle w:val="Standard"/>
        <w:spacing w:line="276" w:lineRule="auto"/>
        <w:jc w:val="both"/>
        <w:rPr>
          <w:rFonts w:ascii="Arial" w:hAnsi="Arial"/>
          <w:b/>
          <w:bCs/>
          <w:lang w:val="fr-MA"/>
        </w:rPr>
      </w:pPr>
    </w:p>
    <w:p w14:paraId="5D68A00F" w14:textId="77777777" w:rsidR="00A73098" w:rsidRPr="00B9538B" w:rsidRDefault="000C2FF1">
      <w:pPr>
        <w:pStyle w:val="Standard"/>
        <w:spacing w:line="276" w:lineRule="auto"/>
        <w:jc w:val="both"/>
        <w:rPr>
          <w:lang w:val="fr-FR"/>
        </w:rPr>
      </w:pPr>
      <w:r w:rsidRPr="00B9538B">
        <w:rPr>
          <w:rFonts w:ascii="Arial" w:hAnsi="Arial"/>
          <w:b/>
          <w:bCs/>
          <w:u w:val="single"/>
          <w:lang w:val="fr-FR"/>
        </w:rPr>
        <w:t>Notes</w:t>
      </w:r>
    </w:p>
    <w:p w14:paraId="11D13672" w14:textId="77777777" w:rsidR="00A73098" w:rsidRPr="00B9538B" w:rsidRDefault="00A73098">
      <w:pPr>
        <w:pStyle w:val="Standard"/>
        <w:spacing w:line="276" w:lineRule="auto"/>
        <w:jc w:val="both"/>
        <w:rPr>
          <w:rFonts w:ascii="Arial" w:hAnsi="Arial"/>
          <w:b/>
          <w:bCs/>
          <w:lang w:val="fr-FR"/>
        </w:rPr>
      </w:pPr>
    </w:p>
    <w:p w14:paraId="22226279" w14:textId="77777777" w:rsidR="00A73098" w:rsidRPr="00B9538B" w:rsidRDefault="000C2FF1">
      <w:pPr>
        <w:pStyle w:val="Normalweb"/>
        <w:spacing w:before="0" w:after="0" w:line="276" w:lineRule="auto"/>
        <w:jc w:val="both"/>
        <w:rPr>
          <w:lang w:val="fr-FR"/>
        </w:rPr>
      </w:pPr>
      <w:r w:rsidRPr="00B9538B">
        <w:rPr>
          <w:rFonts w:ascii="Arial" w:eastAsia="TimesNewRoman" w:hAnsi="Arial" w:cs="Arial"/>
          <w:b/>
          <w:bCs/>
          <w:i/>
          <w:iCs/>
          <w:sz w:val="22"/>
          <w:szCs w:val="22"/>
          <w:lang w:val="fr-FR"/>
        </w:rPr>
        <w:t>Evusheld</w:t>
      </w:r>
    </w:p>
    <w:p w14:paraId="35B30CF9" w14:textId="74A5E28C" w:rsidR="00B6115E" w:rsidRDefault="000C2FF1" w:rsidP="00B6115E">
      <w:pPr>
        <w:pStyle w:val="Normalweb"/>
        <w:spacing w:before="0" w:after="0" w:line="276" w:lineRule="auto"/>
        <w:jc w:val="both"/>
        <w:rPr>
          <w:rFonts w:ascii="Arial" w:hAnsi="Arial" w:cs="Arial"/>
          <w:sz w:val="22"/>
          <w:szCs w:val="22"/>
          <w:lang w:val="fr-MA"/>
        </w:rPr>
      </w:pPr>
      <w:r w:rsidRPr="0064141C">
        <w:rPr>
          <w:rFonts w:ascii="Arial" w:eastAsia="TimesNewRoman" w:hAnsi="Arial" w:cs="Arial"/>
          <w:sz w:val="22"/>
          <w:szCs w:val="22"/>
          <w:lang w:val="fr-MA"/>
        </w:rPr>
        <w:t>Evusheld</w:t>
      </w:r>
      <w:r>
        <w:rPr>
          <w:rFonts w:ascii="Arial" w:eastAsia="TimesNewRoman" w:hAnsi="Arial" w:cs="Arial"/>
          <w:sz w:val="22"/>
          <w:szCs w:val="22"/>
          <w:lang w:val="fr-MA"/>
        </w:rPr>
        <w:t>, anciennement connu sous le nom d'AZD7442, est une combinaison de deux</w:t>
      </w:r>
      <w:r w:rsidR="0064141C">
        <w:rPr>
          <w:rFonts w:ascii="Arial" w:eastAsia="TimesNewRoman" w:hAnsi="Arial" w:cs="Arial"/>
          <w:sz w:val="22"/>
          <w:szCs w:val="22"/>
          <w:lang w:val="fr-MA"/>
        </w:rPr>
        <w:t xml:space="preserve"> </w:t>
      </w:r>
      <w:r w:rsidR="0064141C" w:rsidRPr="0064141C">
        <w:rPr>
          <w:rFonts w:ascii="Arial" w:eastAsia="TimesNewRoman" w:hAnsi="Arial" w:cs="Arial"/>
          <w:sz w:val="22"/>
          <w:szCs w:val="22"/>
          <w:lang w:val="fr-MA"/>
        </w:rPr>
        <w:t>anticorps à action prolongée</w:t>
      </w:r>
      <w:r>
        <w:rPr>
          <w:rFonts w:ascii="Arial" w:eastAsia="TimesNewRoman" w:hAnsi="Arial" w:cs="Arial"/>
          <w:sz w:val="22"/>
          <w:szCs w:val="22"/>
          <w:lang w:val="fr-MA"/>
        </w:rPr>
        <w:t xml:space="preserve">- tixagevimab (AZD8895) et cilgavimab (AZD1061) - dérivés de cellules B données par des patients convalescents après avoir été infectés par le virus du SRAS-CoV-2. Découverts par le Vanderbilt University Medical Center et cédés </w:t>
      </w:r>
      <w:hyperlink r:id="rId11" w:history="1">
        <w:r>
          <w:rPr>
            <w:rStyle w:val="Internetlink"/>
            <w:rFonts w:ascii="Arial" w:eastAsia="TimesNewRoman" w:hAnsi="Arial" w:cs="Arial"/>
            <w:sz w:val="22"/>
            <w:szCs w:val="22"/>
            <w:lang w:val="fr-MA"/>
          </w:rPr>
          <w:t>sous licence à AstraZeneca en juin 2020</w:t>
        </w:r>
      </w:hyperlink>
      <w:r>
        <w:rPr>
          <w:rFonts w:ascii="Arial" w:eastAsia="TimesNewRoman" w:hAnsi="Arial" w:cs="Arial"/>
          <w:sz w:val="22"/>
          <w:szCs w:val="22"/>
          <w:lang w:val="fr-MA"/>
        </w:rPr>
        <w:t>, les anticorps monoclonaux humains se lient à des sites distincts sur la protéine de pointe</w:t>
      </w:r>
      <w:r>
        <w:rPr>
          <w:rFonts w:ascii="Arial" w:eastAsia="TimesNewRoman" w:hAnsi="Arial" w:cs="Arial"/>
          <w:sz w:val="22"/>
          <w:szCs w:val="22"/>
          <w:vertAlign w:val="superscript"/>
          <w:lang w:val="fr-MA"/>
        </w:rPr>
        <w:t xml:space="preserve">11 </w:t>
      </w:r>
      <w:r>
        <w:rPr>
          <w:rFonts w:ascii="Arial" w:eastAsia="TimesNewRoman" w:hAnsi="Arial" w:cs="Arial"/>
          <w:sz w:val="22"/>
          <w:szCs w:val="22"/>
          <w:lang w:val="fr-MA"/>
        </w:rPr>
        <w:t>du SRAS-CoV-2 et ont été optimisés par AstraZeneca avec une extension de la demi-vie et une réduction de la liaison au récepteur Fc et au complément C1q. L'allongement de la demi-vie fait plus que tripler la durabilité de son action par rapport aux anticorps conventionnels et pourrait offrir une protection contre le COVID-19 pouvant aller jusqu'à 12 mois après une seule administration;</w:t>
      </w:r>
      <w:r>
        <w:rPr>
          <w:rFonts w:ascii="Arial" w:eastAsia="TimesNewRoman" w:hAnsi="Arial" w:cs="Arial"/>
          <w:sz w:val="22"/>
          <w:szCs w:val="22"/>
          <w:vertAlign w:val="superscript"/>
          <w:lang w:val="fr-MA"/>
        </w:rPr>
        <w:t>12-14</w:t>
      </w:r>
      <w:r>
        <w:rPr>
          <w:rFonts w:ascii="Arial" w:eastAsia="TimesNewRoman" w:hAnsi="Arial" w:cs="Arial"/>
          <w:sz w:val="22"/>
          <w:szCs w:val="22"/>
          <w:lang w:val="fr-MA"/>
        </w:rPr>
        <w:t xml:space="preserve"> les données de l'essai de phase III PROVENT montrent que la protection dure au moins six mois.</w:t>
      </w:r>
      <w:r>
        <w:rPr>
          <w:rFonts w:ascii="Arial" w:eastAsia="TimesNewRoman" w:hAnsi="Arial" w:cs="Arial"/>
          <w:sz w:val="22"/>
          <w:szCs w:val="22"/>
          <w:vertAlign w:val="superscript"/>
          <w:lang w:val="fr-MA"/>
        </w:rPr>
        <w:t>15</w:t>
      </w:r>
      <w:r>
        <w:rPr>
          <w:rFonts w:ascii="Arial" w:eastAsia="TimesNewRoman" w:hAnsi="Arial" w:cs="Arial"/>
          <w:sz w:val="22"/>
          <w:szCs w:val="22"/>
          <w:lang w:val="fr-MA"/>
        </w:rPr>
        <w:t xml:space="preserve"> La liaison réduite aux récepteurs Fc vise à minimiser le risque de renforcement de la maladie par les anticorps - un phénomène dans lequel les anticorps spécifiques du virus favorisent, plutôt qu'ils ne freinent, l'infection et/ou la maladie.</w:t>
      </w:r>
      <w:r>
        <w:rPr>
          <w:rFonts w:ascii="Arial" w:eastAsia="TimesNewRoman" w:hAnsi="Arial" w:cs="Arial"/>
          <w:vertAlign w:val="superscript"/>
          <w:lang w:val="fr-MA"/>
        </w:rPr>
        <w:t>16</w:t>
      </w:r>
      <w:bookmarkStart w:id="2" w:name="_Hlk76040739"/>
      <w:r w:rsidR="00B6115E">
        <w:rPr>
          <w:rFonts w:ascii="Arial" w:eastAsia="TimesNewRoman" w:hAnsi="Arial" w:cs="Arial"/>
          <w:sz w:val="22"/>
          <w:szCs w:val="22"/>
          <w:lang w:val="fr-MA"/>
        </w:rPr>
        <w:t xml:space="preserve"> </w:t>
      </w:r>
      <w:r w:rsidR="00B6115E" w:rsidRPr="00B6115E">
        <w:rPr>
          <w:rFonts w:ascii="Arial" w:hAnsi="Arial" w:cs="Arial"/>
          <w:sz w:val="22"/>
          <w:szCs w:val="22"/>
          <w:lang w:val="fr-MA"/>
        </w:rPr>
        <w:t>Evusheld est délivré sous la forme d'une dose IM de 150 mg de tixagevimab et 150 mg de cilgavimab administrée en deux injections distinctes et consécutives.</w:t>
      </w:r>
    </w:p>
    <w:p w14:paraId="1AF10B06" w14:textId="77777777" w:rsidR="00B6115E" w:rsidRPr="00B6115E" w:rsidRDefault="00B6115E" w:rsidP="00B6115E">
      <w:pPr>
        <w:pStyle w:val="Normalweb"/>
        <w:spacing w:before="0" w:after="0" w:line="276" w:lineRule="auto"/>
        <w:jc w:val="both"/>
        <w:rPr>
          <w:rFonts w:ascii="Arial" w:eastAsia="TimesNewRoman" w:hAnsi="Arial" w:cs="Arial"/>
          <w:sz w:val="22"/>
          <w:szCs w:val="22"/>
          <w:lang w:val="fr-MA"/>
        </w:rPr>
      </w:pPr>
    </w:p>
    <w:p w14:paraId="1C90E218" w14:textId="27990DCC" w:rsidR="00A73098" w:rsidRPr="00B9538B" w:rsidRDefault="000C2FF1">
      <w:pPr>
        <w:pStyle w:val="Normalweb"/>
        <w:spacing w:line="276" w:lineRule="auto"/>
        <w:jc w:val="both"/>
        <w:rPr>
          <w:lang w:val="fr-FR"/>
        </w:rPr>
      </w:pPr>
      <w:r>
        <w:rPr>
          <w:rFonts w:ascii="Arial" w:hAnsi="Arial" w:cs="Arial"/>
          <w:sz w:val="22"/>
          <w:szCs w:val="22"/>
          <w:lang w:val="fr-MA"/>
        </w:rPr>
        <w:t xml:space="preserve">En août 2021, AstraZeneca a </w:t>
      </w:r>
      <w:hyperlink r:id="rId12" w:history="1">
        <w:r>
          <w:rPr>
            <w:rStyle w:val="Internetlink"/>
            <w:rFonts w:ascii="Arial" w:hAnsi="Arial" w:cs="Arial"/>
            <w:sz w:val="22"/>
            <w:szCs w:val="22"/>
            <w:lang w:val="fr-MA"/>
          </w:rPr>
          <w:t>annoncé</w:t>
        </w:r>
      </w:hyperlink>
      <w:r>
        <w:rPr>
          <w:rFonts w:ascii="Arial" w:hAnsi="Arial" w:cs="Arial"/>
          <w:sz w:val="22"/>
          <w:szCs w:val="22"/>
          <w:lang w:val="fr-MA"/>
        </w:rPr>
        <w:t xml:space="preserve"> qu'</w:t>
      </w:r>
      <w:r>
        <w:rPr>
          <w:rFonts w:ascii="Arial" w:hAnsi="Arial" w:cs="Arial"/>
          <w:i/>
          <w:iCs/>
          <w:sz w:val="22"/>
          <w:szCs w:val="22"/>
          <w:lang w:val="fr-MA"/>
        </w:rPr>
        <w:t xml:space="preserve">Evusheld </w:t>
      </w:r>
      <w:r>
        <w:rPr>
          <w:rFonts w:ascii="Arial" w:hAnsi="Arial" w:cs="Arial"/>
          <w:sz w:val="22"/>
          <w:szCs w:val="22"/>
          <w:lang w:val="fr-MA"/>
        </w:rPr>
        <w:t xml:space="preserve">a démontré une réduction statistiquement significative du risque de développer un COVID-19 symptomatique dans l'essai PROVENT ; l'efficacité était de 83% par rapport au placebo dans une analyse à six mois </w:t>
      </w:r>
      <w:hyperlink r:id="rId13" w:history="1">
        <w:r>
          <w:rPr>
            <w:rStyle w:val="Internetlink"/>
            <w:rFonts w:ascii="Arial" w:hAnsi="Arial" w:cs="Arial"/>
            <w:sz w:val="22"/>
            <w:szCs w:val="22"/>
            <w:lang w:val="fr-MA"/>
          </w:rPr>
          <w:t>annoncée</w:t>
        </w:r>
      </w:hyperlink>
      <w:r>
        <w:rPr>
          <w:rFonts w:ascii="Arial" w:hAnsi="Arial" w:cs="Arial"/>
          <w:sz w:val="22"/>
          <w:szCs w:val="22"/>
          <w:lang w:val="fr-MA"/>
        </w:rPr>
        <w:t xml:space="preserve"> le 18 novembre 2021. En octobre 2021, AstraZeneca a </w:t>
      </w:r>
      <w:hyperlink r:id="rId14" w:history="1">
        <w:r>
          <w:rPr>
            <w:rStyle w:val="Internetlink"/>
            <w:rFonts w:ascii="Arial" w:hAnsi="Arial" w:cs="Arial"/>
            <w:sz w:val="22"/>
            <w:szCs w:val="22"/>
            <w:lang w:val="fr-MA"/>
          </w:rPr>
          <w:t>annoncé</w:t>
        </w:r>
      </w:hyperlink>
      <w:r>
        <w:rPr>
          <w:rFonts w:ascii="Arial" w:hAnsi="Arial" w:cs="Arial"/>
          <w:sz w:val="22"/>
          <w:szCs w:val="22"/>
          <w:lang w:val="fr-MA"/>
        </w:rPr>
        <w:t xml:space="preserve"> des résultats positifs de haut niveau de l'essai de traitement ambulatoire de phase III </w:t>
      </w:r>
      <w:r>
        <w:rPr>
          <w:rFonts w:ascii="Arial" w:hAnsi="Arial" w:cs="Arial"/>
          <w:i/>
          <w:iCs/>
          <w:sz w:val="22"/>
          <w:szCs w:val="22"/>
          <w:lang w:val="fr-MA"/>
        </w:rPr>
        <w:t>Evusheld</w:t>
      </w:r>
      <w:r>
        <w:rPr>
          <w:rFonts w:ascii="Arial" w:hAnsi="Arial" w:cs="Arial"/>
          <w:sz w:val="22"/>
          <w:szCs w:val="22"/>
          <w:lang w:val="fr-MA"/>
        </w:rPr>
        <w:t xml:space="preserve"> TACKLE. Evusheld est également étudié en tant que traitement potentiel pour les patients hospitalisés atteints de </w:t>
      </w:r>
      <w:r>
        <w:rPr>
          <w:rFonts w:ascii="Arial" w:hAnsi="Arial" w:cs="Arial"/>
          <w:sz w:val="22"/>
          <w:szCs w:val="22"/>
          <w:lang w:val="fr-MA"/>
        </w:rPr>
        <w:lastRenderedPageBreak/>
        <w:t xml:space="preserve">COVID-19 dans le cadre de </w:t>
      </w:r>
      <w:hyperlink r:id="rId15" w:history="1">
        <w:r>
          <w:rPr>
            <w:rStyle w:val="Internetlink"/>
            <w:rFonts w:ascii="Arial" w:hAnsi="Arial" w:cs="Arial"/>
            <w:sz w:val="22"/>
            <w:szCs w:val="22"/>
            <w:lang w:val="fr-MA"/>
          </w:rPr>
          <w:t>l'essai ACTIV-3</w:t>
        </w:r>
      </w:hyperlink>
      <w:r>
        <w:rPr>
          <w:rFonts w:ascii="Arial" w:hAnsi="Arial" w:cs="Arial"/>
          <w:sz w:val="22"/>
          <w:szCs w:val="22"/>
          <w:lang w:val="fr-MA"/>
        </w:rPr>
        <w:t xml:space="preserve"> du National Institute of Health et dans un essai de traitement d'hospitalisation d'un collaborateur supplémentaire.</w:t>
      </w:r>
    </w:p>
    <w:p w14:paraId="7D3E6810" w14:textId="77777777" w:rsidR="00A73098" w:rsidRPr="00B9538B" w:rsidRDefault="000C2FF1">
      <w:pPr>
        <w:pStyle w:val="Normalweb"/>
        <w:spacing w:line="276" w:lineRule="auto"/>
        <w:jc w:val="both"/>
        <w:rPr>
          <w:lang w:val="fr-FR"/>
        </w:rPr>
      </w:pPr>
      <w:r>
        <w:rPr>
          <w:rFonts w:ascii="Arial" w:hAnsi="Arial" w:cs="Arial"/>
          <w:sz w:val="22"/>
          <w:szCs w:val="22"/>
          <w:lang w:val="fr-MA"/>
        </w:rPr>
        <w:t>Selon les termes de l'accord de licence avec Vanderbilt, AstraZeneca paiera des redevances à un chiffre sur les ventes nettes futures.</w:t>
      </w:r>
      <w:bookmarkEnd w:id="2"/>
    </w:p>
    <w:p w14:paraId="5E2B3A9A" w14:textId="77777777" w:rsidR="00A73098" w:rsidRPr="00B9538B" w:rsidRDefault="000C2FF1">
      <w:pPr>
        <w:pStyle w:val="Standard"/>
        <w:spacing w:line="276" w:lineRule="auto"/>
        <w:jc w:val="both"/>
        <w:rPr>
          <w:lang w:val="fr-FR"/>
        </w:rPr>
      </w:pPr>
      <w:r w:rsidRPr="00B9538B">
        <w:rPr>
          <w:rFonts w:ascii="Arial" w:hAnsi="Arial"/>
          <w:b/>
          <w:lang w:val="fr-FR"/>
        </w:rPr>
        <w:t>AstraZeneca</w:t>
      </w:r>
    </w:p>
    <w:p w14:paraId="24B44A2A" w14:textId="1E153F28" w:rsidR="00886410" w:rsidRPr="00886410" w:rsidRDefault="000C2FF1" w:rsidP="5E64AE9C">
      <w:pPr>
        <w:pStyle w:val="Standard"/>
        <w:spacing w:line="276" w:lineRule="auto"/>
        <w:jc w:val="both"/>
        <w:rPr>
          <w:rFonts w:ascii="Arial" w:hAnsi="Arial"/>
          <w:color w:val="0000FF"/>
          <w:u w:val="single"/>
          <w:lang w:val="fr-MA"/>
        </w:rPr>
      </w:pPr>
      <w:r w:rsidRPr="5E64AE9C">
        <w:rPr>
          <w:rFonts w:ascii="Arial" w:hAnsi="Arial"/>
          <w:lang w:val="fr-MA"/>
        </w:rPr>
        <w:t xml:space="preserve">AstraZeneca (LSE/STO/Nasdaq : AZN) est une </w:t>
      </w:r>
      <w:r w:rsidR="00886410" w:rsidRPr="5E64AE9C">
        <w:rPr>
          <w:rFonts w:ascii="Arial" w:hAnsi="Arial"/>
          <w:lang w:val="fr-MA"/>
        </w:rPr>
        <w:t>entreprise</w:t>
      </w:r>
      <w:r w:rsidRPr="5E64AE9C">
        <w:rPr>
          <w:rFonts w:ascii="Arial" w:hAnsi="Arial"/>
          <w:lang w:val="fr-MA"/>
        </w:rPr>
        <w:t xml:space="preserve"> biopharmaceutique </w:t>
      </w:r>
      <w:r w:rsidR="00886410" w:rsidRPr="5E64AE9C">
        <w:rPr>
          <w:rFonts w:ascii="Arial" w:hAnsi="Arial"/>
          <w:lang w:val="fr-MA"/>
        </w:rPr>
        <w:t>internationale guidée par la science et axée sur la recherche</w:t>
      </w:r>
      <w:r w:rsidRPr="5E64AE9C">
        <w:rPr>
          <w:rFonts w:ascii="Arial" w:hAnsi="Arial"/>
          <w:lang w:val="fr-MA"/>
        </w:rPr>
        <w:t xml:space="preserve">, le développement et la commercialisation de médicaments </w:t>
      </w:r>
      <w:r w:rsidR="00735A9D" w:rsidRPr="5E64AE9C">
        <w:rPr>
          <w:rFonts w:ascii="Arial" w:hAnsi="Arial"/>
          <w:lang w:val="fr-MA"/>
        </w:rPr>
        <w:t>prescrits</w:t>
      </w:r>
      <w:r w:rsidRPr="5E64AE9C">
        <w:rPr>
          <w:rFonts w:ascii="Arial" w:hAnsi="Arial"/>
          <w:lang w:val="fr-MA"/>
        </w:rPr>
        <w:t xml:space="preserve"> dans les domaines de l'oncologie, des maladies rares et de la biopharmacie, notamment les maladies cardiovasculaires, rénales et métaboliques, et respiratoires et immunologiques. Basée à Cambridge, au Royaume-Uni, AstraZeneca est présente dans plus de 100 pays et ses médicaments innovants sont utilisés par des millions de patients dans le monde. Veuillez consulter le site </w:t>
      </w:r>
      <w:hyperlink r:id="rId16">
        <w:r w:rsidRPr="5E64AE9C">
          <w:rPr>
            <w:rStyle w:val="Internetlink"/>
            <w:rFonts w:ascii="Arial" w:hAnsi="Arial"/>
            <w:lang w:val="fr-MA"/>
          </w:rPr>
          <w:t>astrazeneca.com</w:t>
        </w:r>
      </w:hyperlink>
      <w:r w:rsidRPr="5E64AE9C">
        <w:rPr>
          <w:rFonts w:ascii="Arial" w:hAnsi="Arial"/>
          <w:lang w:val="fr-MA"/>
        </w:rPr>
        <w:t xml:space="preserve"> et suivre la société sur Twitter </w:t>
      </w:r>
      <w:hyperlink r:id="rId17">
        <w:r w:rsidRPr="5E64AE9C">
          <w:rPr>
            <w:rStyle w:val="Internetlink"/>
            <w:rFonts w:ascii="Arial" w:hAnsi="Arial"/>
            <w:lang w:val="fr-MA"/>
          </w:rPr>
          <w:t>@AstraZeneca.</w:t>
        </w:r>
      </w:hyperlink>
    </w:p>
    <w:p w14:paraId="6DE8FF84" w14:textId="77777777" w:rsidR="00A73098" w:rsidRDefault="00A73098">
      <w:pPr>
        <w:pStyle w:val="Sansinterligne"/>
        <w:spacing w:line="276" w:lineRule="auto"/>
        <w:jc w:val="both"/>
        <w:rPr>
          <w:rFonts w:ascii="Arial" w:hAnsi="Arial"/>
          <w:b/>
          <w:lang w:val="fr-MA"/>
        </w:rPr>
      </w:pPr>
    </w:p>
    <w:p w14:paraId="1E9F4DA3" w14:textId="77777777" w:rsidR="00A73098" w:rsidRPr="00B9538B" w:rsidRDefault="000C2FF1">
      <w:pPr>
        <w:pStyle w:val="Sansinterligne"/>
        <w:spacing w:line="276" w:lineRule="auto"/>
        <w:jc w:val="both"/>
        <w:rPr>
          <w:lang w:val="fr-FR"/>
        </w:rPr>
      </w:pPr>
      <w:r>
        <w:rPr>
          <w:rFonts w:ascii="Arial" w:hAnsi="Arial"/>
          <w:b/>
          <w:lang w:val="fr-MA"/>
        </w:rPr>
        <w:t>Contacts</w:t>
      </w:r>
    </w:p>
    <w:p w14:paraId="6072223B" w14:textId="77777777" w:rsidR="00A73098" w:rsidRDefault="000C2FF1">
      <w:pPr>
        <w:pStyle w:val="Standard"/>
        <w:jc w:val="both"/>
      </w:pPr>
      <w:r>
        <w:rPr>
          <w:rFonts w:ascii="Arial" w:hAnsi="Arial"/>
          <w:color w:val="000000"/>
          <w:lang w:val="fr-MA"/>
        </w:rPr>
        <w:t xml:space="preserve">Pour savoir comment contacter l'équipe chargée des relations avec les investisseurs, veuillez </w:t>
      </w:r>
      <w:hyperlink r:id="rId18" w:anchor="Contacts" w:history="1">
        <w:r>
          <w:rPr>
            <w:rStyle w:val="Internetlink"/>
            <w:rFonts w:ascii="Arial" w:hAnsi="Arial"/>
            <w:lang w:val="fr-MA"/>
          </w:rPr>
          <w:t>cliquer ici</w:t>
        </w:r>
      </w:hyperlink>
      <w:r>
        <w:rPr>
          <w:rFonts w:ascii="Arial" w:hAnsi="Arial"/>
          <w:color w:val="000000"/>
          <w:lang w:val="fr-MA"/>
        </w:rPr>
        <w:t xml:space="preserve">. </w:t>
      </w:r>
      <w:r>
        <w:rPr>
          <w:rFonts w:ascii="Arial" w:hAnsi="Arial"/>
          <w:color w:val="000000"/>
        </w:rPr>
        <w:t xml:space="preserve">Pour les contacts avec les médias, </w:t>
      </w:r>
      <w:hyperlink r:id="rId19" w:history="1">
        <w:r>
          <w:rPr>
            <w:rStyle w:val="Internetlink"/>
            <w:rFonts w:ascii="Arial" w:hAnsi="Arial"/>
          </w:rPr>
          <w:t>cliquez ici.</w:t>
        </w:r>
      </w:hyperlink>
    </w:p>
    <w:p w14:paraId="15981E3B" w14:textId="77777777" w:rsidR="00A73098" w:rsidRDefault="00A73098">
      <w:pPr>
        <w:pStyle w:val="Normalweb"/>
        <w:spacing w:before="0" w:after="0" w:line="276" w:lineRule="auto"/>
        <w:jc w:val="both"/>
        <w:rPr>
          <w:rFonts w:ascii="Arial" w:eastAsia="Calibri" w:hAnsi="Arial" w:cs="Arial"/>
          <w:sz w:val="22"/>
          <w:szCs w:val="22"/>
        </w:rPr>
      </w:pPr>
    </w:p>
    <w:p w14:paraId="07CC8D63" w14:textId="77777777" w:rsidR="00A73098" w:rsidRDefault="00A73098">
      <w:pPr>
        <w:pStyle w:val="Normalweb"/>
        <w:spacing w:before="0" w:after="0" w:line="276" w:lineRule="auto"/>
        <w:jc w:val="both"/>
        <w:rPr>
          <w:rFonts w:ascii="Arial" w:eastAsia="Calibri" w:hAnsi="Arial" w:cs="Arial"/>
          <w:sz w:val="22"/>
          <w:szCs w:val="22"/>
        </w:rPr>
      </w:pPr>
    </w:p>
    <w:p w14:paraId="4D58BB2C" w14:textId="77777777" w:rsidR="00A73098" w:rsidRDefault="000C2FF1">
      <w:pPr>
        <w:pStyle w:val="Normalweb"/>
        <w:spacing w:before="0" w:after="0" w:line="276" w:lineRule="auto"/>
        <w:jc w:val="both"/>
      </w:pPr>
      <w:r>
        <w:rPr>
          <w:rFonts w:ascii="Arial" w:eastAsia="Calibri" w:hAnsi="Arial" w:cs="Arial"/>
          <w:b/>
          <w:bCs/>
          <w:sz w:val="20"/>
          <w:szCs w:val="20"/>
        </w:rPr>
        <w:t>References</w:t>
      </w:r>
    </w:p>
    <w:p w14:paraId="60116744" w14:textId="77777777" w:rsidR="00A73098" w:rsidRDefault="000C2FF1">
      <w:pPr>
        <w:pStyle w:val="Pardeliste"/>
        <w:numPr>
          <w:ilvl w:val="0"/>
          <w:numId w:val="26"/>
        </w:numPr>
        <w:spacing w:line="276" w:lineRule="auto"/>
        <w:ind w:left="360"/>
        <w:jc w:val="both"/>
      </w:pPr>
      <w:r>
        <w:rPr>
          <w:rFonts w:ascii="Arial" w:eastAsia="Times New Roman" w:hAnsi="Arial"/>
          <w:spacing w:val="5"/>
          <w:sz w:val="20"/>
          <w:szCs w:val="20"/>
          <w:lang w:val="fr-MA"/>
        </w:rPr>
        <w:t xml:space="preserve">Oliver, S MD. Données et considérations cliniques sur les doses supplémentaires chez les personnes immunodéprimées. Réunion de l'ACIP le 22 juillet 2021. Disponible sur : </w:t>
      </w:r>
      <w:hyperlink r:id="rId20" w:history="1">
        <w:r>
          <w:rPr>
            <w:rStyle w:val="Internetlink"/>
            <w:rFonts w:ascii="Arial" w:eastAsia="Times New Roman" w:hAnsi="Arial"/>
            <w:spacing w:val="5"/>
            <w:sz w:val="20"/>
            <w:szCs w:val="20"/>
            <w:lang w:val="fr-MA"/>
          </w:rPr>
          <w:t>https://www.cdc.gov/vaccines/acip/meetings/downloads/slides-2021-07/07-COVID-Oliver-508.pdf</w:t>
        </w:r>
      </w:hyperlink>
      <w:r>
        <w:rPr>
          <w:rFonts w:ascii="Arial" w:eastAsia="Times New Roman" w:hAnsi="Arial"/>
          <w:spacing w:val="5"/>
          <w:sz w:val="20"/>
          <w:szCs w:val="20"/>
          <w:lang w:val="fr-MA"/>
        </w:rPr>
        <w:t xml:space="preserve">. </w:t>
      </w:r>
      <w:r>
        <w:rPr>
          <w:rFonts w:ascii="Arial" w:eastAsia="Times New Roman" w:hAnsi="Arial"/>
          <w:spacing w:val="5"/>
          <w:sz w:val="20"/>
          <w:szCs w:val="20"/>
        </w:rPr>
        <w:t>[Dernier accès : décembre 2021].</w:t>
      </w:r>
    </w:p>
    <w:p w14:paraId="16B38534" w14:textId="77777777" w:rsidR="00A73098" w:rsidRPr="00B9538B" w:rsidRDefault="000C2FF1">
      <w:pPr>
        <w:pStyle w:val="Pardeliste"/>
        <w:numPr>
          <w:ilvl w:val="0"/>
          <w:numId w:val="19"/>
        </w:numPr>
        <w:spacing w:line="276" w:lineRule="auto"/>
        <w:ind w:left="360"/>
        <w:jc w:val="both"/>
        <w:rPr>
          <w:lang w:val="fr-FR"/>
        </w:rPr>
      </w:pPr>
      <w:r>
        <w:rPr>
          <w:rFonts w:ascii="Arial" w:eastAsia="Times New Roman" w:hAnsi="Arial"/>
          <w:spacing w:val="5"/>
          <w:sz w:val="20"/>
          <w:szCs w:val="20"/>
          <w:lang w:val="fr-MA"/>
        </w:rPr>
        <w:t>Données AstraZeneca dans le dossier.</w:t>
      </w:r>
    </w:p>
    <w:p w14:paraId="0009EC25" w14:textId="77777777" w:rsidR="00A73098" w:rsidRDefault="000C2FF1">
      <w:pPr>
        <w:pStyle w:val="Pardeliste"/>
        <w:numPr>
          <w:ilvl w:val="0"/>
          <w:numId w:val="19"/>
        </w:numPr>
        <w:spacing w:line="276" w:lineRule="auto"/>
        <w:ind w:left="360"/>
        <w:jc w:val="both"/>
      </w:pPr>
      <w:r>
        <w:rPr>
          <w:rFonts w:ascii="Arial" w:eastAsia="Times New Roman" w:hAnsi="Arial"/>
          <w:spacing w:val="5"/>
          <w:sz w:val="20"/>
          <w:szCs w:val="20"/>
          <w:lang w:val="fr-MA"/>
        </w:rPr>
        <w:t xml:space="preserve">Centres de contrôle et de prévention des maladies. Altered Immunocompetence. Guide général des meilleures pratiques en matière d'immunisation : Guide des meilleures pratiques du Comité consultatif sur les pratiques d'immunisation. [En ligne]. Disponible à l'adresse suivante: </w:t>
      </w:r>
      <w:hyperlink r:id="rId21" w:history="1">
        <w:r>
          <w:rPr>
            <w:rStyle w:val="Internetlink"/>
            <w:rFonts w:ascii="Arial" w:eastAsia="Times New Roman" w:hAnsi="Arial"/>
            <w:spacing w:val="5"/>
            <w:sz w:val="20"/>
            <w:szCs w:val="20"/>
            <w:lang w:val="fr-MA"/>
          </w:rPr>
          <w:t>https://www.cdc.gov/vaccines/hcp/acip-recs/general-recs/immunocompetence.html</w:t>
        </w:r>
      </w:hyperlink>
      <w:r>
        <w:rPr>
          <w:rFonts w:ascii="Arial" w:eastAsia="Times New Roman" w:hAnsi="Arial"/>
          <w:spacing w:val="5"/>
          <w:sz w:val="20"/>
          <w:szCs w:val="20"/>
          <w:lang w:val="fr-MA"/>
        </w:rPr>
        <w:t xml:space="preserve">. </w:t>
      </w:r>
      <w:r>
        <w:rPr>
          <w:rFonts w:ascii="Arial" w:eastAsia="Times New Roman" w:hAnsi="Arial"/>
          <w:spacing w:val="5"/>
          <w:sz w:val="20"/>
          <w:szCs w:val="20"/>
        </w:rPr>
        <w:t>[Dernier accès : décembre 2021].</w:t>
      </w:r>
    </w:p>
    <w:p w14:paraId="17B4E929" w14:textId="77777777" w:rsidR="00A73098" w:rsidRDefault="000C2FF1">
      <w:pPr>
        <w:pStyle w:val="Pardeliste"/>
        <w:numPr>
          <w:ilvl w:val="0"/>
          <w:numId w:val="19"/>
        </w:numPr>
        <w:spacing w:line="276" w:lineRule="auto"/>
        <w:ind w:left="360"/>
        <w:jc w:val="both"/>
      </w:pPr>
      <w:r>
        <w:rPr>
          <w:rFonts w:ascii="Arial" w:eastAsia="Times New Roman" w:hAnsi="Arial"/>
          <w:spacing w:val="5"/>
          <w:sz w:val="20"/>
          <w:szCs w:val="20"/>
        </w:rPr>
        <w:t xml:space="preserve">Boyarsky BJ, et al. Immunogenicity of a Single Dose of SARS-CoV-2 Messenger RNA Vaccine in Solid Organ Transplant Recipients. </w:t>
      </w:r>
      <w:r>
        <w:rPr>
          <w:rFonts w:ascii="Arial" w:eastAsia="Times New Roman" w:hAnsi="Arial"/>
          <w:i/>
          <w:iCs/>
          <w:spacing w:val="5"/>
          <w:sz w:val="20"/>
          <w:szCs w:val="20"/>
        </w:rPr>
        <w:t>JAMA.</w:t>
      </w:r>
      <w:r>
        <w:rPr>
          <w:rFonts w:ascii="Arial" w:eastAsia="Times New Roman" w:hAnsi="Arial"/>
          <w:spacing w:val="5"/>
          <w:sz w:val="20"/>
          <w:szCs w:val="20"/>
        </w:rPr>
        <w:t xml:space="preserve"> 2021; 325 (17):1784-1786.</w:t>
      </w:r>
    </w:p>
    <w:p w14:paraId="126199B3" w14:textId="77777777" w:rsidR="00A73098" w:rsidRDefault="000C2FF1">
      <w:pPr>
        <w:pStyle w:val="Pardeliste"/>
        <w:numPr>
          <w:ilvl w:val="0"/>
          <w:numId w:val="19"/>
        </w:numPr>
        <w:spacing w:line="276" w:lineRule="auto"/>
        <w:ind w:left="360"/>
        <w:jc w:val="both"/>
      </w:pPr>
      <w:r>
        <w:rPr>
          <w:rFonts w:ascii="Arial" w:eastAsia="Times New Roman" w:hAnsi="Arial"/>
          <w:spacing w:val="5"/>
          <w:sz w:val="20"/>
          <w:szCs w:val="20"/>
        </w:rPr>
        <w:t xml:space="preserve">Rabinowich L, et al. Low immunogenicity to SARS-CoV-2 vaccination among liver transplant recipients, </w:t>
      </w:r>
      <w:r>
        <w:rPr>
          <w:rFonts w:ascii="Arial" w:eastAsia="Times New Roman" w:hAnsi="Arial"/>
          <w:i/>
          <w:iCs/>
          <w:spacing w:val="5"/>
          <w:sz w:val="20"/>
          <w:szCs w:val="20"/>
        </w:rPr>
        <w:t>Journal of Hepatology</w:t>
      </w:r>
      <w:r>
        <w:rPr>
          <w:rFonts w:ascii="Arial" w:eastAsia="Times New Roman" w:hAnsi="Arial"/>
          <w:spacing w:val="5"/>
          <w:sz w:val="20"/>
          <w:szCs w:val="20"/>
        </w:rPr>
        <w:t xml:space="preserve"> (2021). doi: https://doi.org/10.1016/ j.jhep.2021.04.020.</w:t>
      </w:r>
    </w:p>
    <w:p w14:paraId="455213F4" w14:textId="77777777" w:rsidR="00A73098" w:rsidRDefault="000C2FF1">
      <w:pPr>
        <w:pStyle w:val="Pardeliste"/>
        <w:numPr>
          <w:ilvl w:val="0"/>
          <w:numId w:val="19"/>
        </w:numPr>
        <w:spacing w:line="276" w:lineRule="auto"/>
        <w:ind w:left="360"/>
        <w:jc w:val="both"/>
      </w:pPr>
      <w:r>
        <w:rPr>
          <w:rFonts w:ascii="Arial" w:eastAsia="Times New Roman" w:hAnsi="Arial"/>
          <w:spacing w:val="5"/>
          <w:sz w:val="20"/>
          <w:szCs w:val="20"/>
        </w:rPr>
        <w:t>Deepak P, et al. Glucocorticoids and B Cell Depleting Agents Substantially Impair Immunogenicity of mRNA Vaccines to SARS-CoV-2. medRxiv [Preprint]. 2021 Apr 9:2021.04.05.21254656. doi: 10.1101/2021.04.05.21254656. PMID: 33851176; PMCID: PMC8043473.</w:t>
      </w:r>
    </w:p>
    <w:p w14:paraId="78D45A90" w14:textId="77777777" w:rsidR="00A73098" w:rsidRDefault="000C2FF1">
      <w:pPr>
        <w:pStyle w:val="EndNoteBibliography"/>
        <w:numPr>
          <w:ilvl w:val="0"/>
          <w:numId w:val="19"/>
        </w:numPr>
        <w:spacing w:after="0" w:line="276" w:lineRule="auto"/>
        <w:ind w:left="360"/>
        <w:jc w:val="both"/>
      </w:pPr>
      <w:r>
        <w:rPr>
          <w:rFonts w:ascii="Arial" w:eastAsia="Times New Roman" w:hAnsi="Arial" w:cs="Arial"/>
          <w:spacing w:val="5"/>
          <w:sz w:val="20"/>
          <w:szCs w:val="20"/>
        </w:rPr>
        <w:t>Simon D, et al. SARS-CoV-2 vaccination responses in untreated, conventionally treated and anticytokine-treated patients with immune-mediated inflammatory diseases. Ann Rheum Dis. 2021 May 6 : annrheumdis-2021-220461. doi : 10.1136/annrheumdis-2021-220461. Epub avant impression. PMID : 33958324.</w:t>
      </w:r>
    </w:p>
    <w:p w14:paraId="05A335A9" w14:textId="77777777" w:rsidR="00A73098" w:rsidRDefault="000C2FF1">
      <w:pPr>
        <w:pStyle w:val="EndNoteBibliography"/>
        <w:numPr>
          <w:ilvl w:val="0"/>
          <w:numId w:val="19"/>
        </w:numPr>
        <w:spacing w:after="0" w:line="276" w:lineRule="auto"/>
        <w:ind w:left="360"/>
        <w:jc w:val="both"/>
      </w:pPr>
      <w:r>
        <w:rPr>
          <w:rFonts w:ascii="Arial" w:hAnsi="Arial" w:cs="Arial"/>
          <w:sz w:val="20"/>
          <w:szCs w:val="20"/>
          <w:lang w:val="fr-MA"/>
        </w:rPr>
        <w:t>8.</w:t>
      </w:r>
      <w:r>
        <w:rPr>
          <w:rFonts w:ascii="Arial" w:hAnsi="Arial" w:cs="Arial"/>
          <w:sz w:val="20"/>
          <w:szCs w:val="20"/>
          <w:lang w:val="fr-MA"/>
        </w:rPr>
        <w:tab/>
        <w:t xml:space="preserve">ACTIV. Portail de données ouvert du National Center for Advancing Translational Sciences. </w:t>
      </w:r>
      <w:r>
        <w:rPr>
          <w:rFonts w:ascii="Arial" w:hAnsi="Arial" w:cs="Arial"/>
          <w:sz w:val="20"/>
          <w:szCs w:val="20"/>
        </w:rPr>
        <w:t xml:space="preserve">SARS-CoV-2 Variants &amp; Therapeutics, All Variants Reported in vitro Therapeutic Activity. </w:t>
      </w:r>
      <w:r>
        <w:rPr>
          <w:rFonts w:ascii="Arial" w:hAnsi="Arial" w:cs="Arial"/>
          <w:sz w:val="20"/>
          <w:szCs w:val="20"/>
          <w:lang w:val="fr-MA"/>
        </w:rPr>
        <w:t xml:space="preserve">Disponible à l'adresse suivante : </w:t>
      </w:r>
      <w:hyperlink r:id="rId22" w:history="1">
        <w:r>
          <w:rPr>
            <w:rStyle w:val="Internetlink"/>
            <w:rFonts w:ascii="Arial" w:hAnsi="Arial" w:cs="Arial"/>
            <w:sz w:val="20"/>
            <w:szCs w:val="20"/>
            <w:lang w:val="fr-MA"/>
          </w:rPr>
          <w:t>https://opendata.ncats.nih.gov/variant/activity</w:t>
        </w:r>
      </w:hyperlink>
      <w:r>
        <w:rPr>
          <w:rFonts w:ascii="Arial" w:hAnsi="Arial" w:cs="Arial"/>
          <w:sz w:val="20"/>
          <w:szCs w:val="20"/>
          <w:lang w:val="fr-MA"/>
        </w:rPr>
        <w:t xml:space="preserve">. </w:t>
      </w:r>
      <w:r>
        <w:rPr>
          <w:rFonts w:ascii="Arial" w:eastAsia="Times New Roman" w:hAnsi="Arial" w:cs="Arial"/>
          <w:spacing w:val="5"/>
          <w:sz w:val="20"/>
          <w:szCs w:val="20"/>
        </w:rPr>
        <w:t>[Dernier accès : décembre 2021].</w:t>
      </w:r>
    </w:p>
    <w:p w14:paraId="614E44DF" w14:textId="77777777" w:rsidR="00A73098" w:rsidRDefault="000C2FF1">
      <w:pPr>
        <w:pStyle w:val="EndNoteBibliography"/>
        <w:numPr>
          <w:ilvl w:val="0"/>
          <w:numId w:val="19"/>
        </w:numPr>
        <w:spacing w:after="0" w:line="276" w:lineRule="auto"/>
        <w:ind w:left="360"/>
        <w:jc w:val="both"/>
      </w:pPr>
      <w:r>
        <w:rPr>
          <w:rFonts w:ascii="Arial" w:hAnsi="Arial" w:cs="Arial"/>
          <w:sz w:val="20"/>
          <w:szCs w:val="20"/>
        </w:rPr>
        <w:t>Bloom Labs. Disponible:</w:t>
      </w:r>
    </w:p>
    <w:p w14:paraId="12B50CDC" w14:textId="77777777" w:rsidR="00A73098" w:rsidRPr="00B9538B" w:rsidRDefault="0073674E">
      <w:pPr>
        <w:pStyle w:val="EndNoteBibliography"/>
        <w:spacing w:after="0" w:line="276" w:lineRule="auto"/>
        <w:ind w:left="360"/>
        <w:jc w:val="both"/>
        <w:rPr>
          <w:lang w:val="fr-FR"/>
        </w:rPr>
      </w:pPr>
      <w:hyperlink r:id="rId23" w:history="1">
        <w:r w:rsidR="000C2FF1">
          <w:rPr>
            <w:rStyle w:val="Internetlink"/>
            <w:rFonts w:ascii="Arial" w:hAnsi="Arial" w:cs="Arial"/>
            <w:sz w:val="20"/>
            <w:szCs w:val="20"/>
            <w:lang w:val="fr-MA"/>
          </w:rPr>
          <w:t>https://twitter.com/jbloom_lab/status/1464005705891868702/photo/1</w:t>
        </w:r>
      </w:hyperlink>
      <w:r w:rsidR="000C2FF1">
        <w:rPr>
          <w:rFonts w:ascii="Arial" w:hAnsi="Arial" w:cs="Arial"/>
          <w:sz w:val="20"/>
          <w:szCs w:val="20"/>
          <w:lang w:val="fr-MA"/>
        </w:rPr>
        <w:t xml:space="preserve"> </w:t>
      </w:r>
      <w:r w:rsidR="000C2FF1">
        <w:rPr>
          <w:rFonts w:ascii="Arial" w:eastAsia="Times New Roman" w:hAnsi="Arial" w:cs="Arial"/>
          <w:spacing w:val="5"/>
          <w:sz w:val="20"/>
          <w:szCs w:val="20"/>
          <w:lang w:val="fr-MA"/>
        </w:rPr>
        <w:t>[Dernier accès : décembre 2021].</w:t>
      </w:r>
    </w:p>
    <w:p w14:paraId="46BB1256" w14:textId="77777777" w:rsidR="00A73098" w:rsidRPr="00B9538B" w:rsidRDefault="000C2FF1">
      <w:pPr>
        <w:pStyle w:val="Pardeliste"/>
        <w:numPr>
          <w:ilvl w:val="0"/>
          <w:numId w:val="19"/>
        </w:numPr>
        <w:spacing w:line="276" w:lineRule="auto"/>
        <w:ind w:left="360"/>
        <w:jc w:val="both"/>
        <w:rPr>
          <w:lang w:val="fr-FR"/>
        </w:rPr>
      </w:pPr>
      <w:r>
        <w:rPr>
          <w:rFonts w:ascii="Arial" w:eastAsia="Times New Roman" w:hAnsi="Arial"/>
          <w:spacing w:val="5"/>
          <w:sz w:val="20"/>
          <w:szCs w:val="20"/>
          <w:lang w:val="fr-MA"/>
        </w:rPr>
        <w:t>Données AstraZeneca dans le dossier.</w:t>
      </w:r>
    </w:p>
    <w:p w14:paraId="11BB52D9" w14:textId="77777777" w:rsidR="00A73098" w:rsidRDefault="000C2FF1">
      <w:pPr>
        <w:pStyle w:val="Pardeliste"/>
        <w:numPr>
          <w:ilvl w:val="0"/>
          <w:numId w:val="19"/>
        </w:numPr>
        <w:spacing w:line="276" w:lineRule="auto"/>
        <w:ind w:left="360"/>
        <w:jc w:val="both"/>
      </w:pPr>
      <w:r>
        <w:rPr>
          <w:rFonts w:ascii="Arial" w:eastAsia="Times New Roman" w:hAnsi="Arial"/>
          <w:spacing w:val="5"/>
          <w:sz w:val="20"/>
          <w:szCs w:val="20"/>
        </w:rPr>
        <w:t xml:space="preserve">Dong J, et al. Genetic and structural basis for recognition of SARS-CoV-2 spike protein by a two-antibody cocktail. </w:t>
      </w:r>
      <w:r>
        <w:rPr>
          <w:rFonts w:ascii="Arial" w:eastAsia="Times New Roman" w:hAnsi="Arial"/>
          <w:i/>
          <w:iCs/>
          <w:spacing w:val="5"/>
          <w:sz w:val="20"/>
          <w:szCs w:val="20"/>
        </w:rPr>
        <w:t>bioRxiv</w:t>
      </w:r>
      <w:r>
        <w:rPr>
          <w:rFonts w:ascii="Arial" w:eastAsia="Times New Roman" w:hAnsi="Arial"/>
          <w:spacing w:val="5"/>
          <w:sz w:val="20"/>
          <w:szCs w:val="20"/>
        </w:rPr>
        <w:t>. 2021; doi: 10.1101/2021.01.27.428529.</w:t>
      </w:r>
    </w:p>
    <w:p w14:paraId="5A660DFF" w14:textId="77777777" w:rsidR="00A73098" w:rsidRDefault="000C2FF1">
      <w:pPr>
        <w:pStyle w:val="EndNoteBibliography"/>
        <w:numPr>
          <w:ilvl w:val="0"/>
          <w:numId w:val="19"/>
        </w:numPr>
        <w:spacing w:after="0" w:line="276" w:lineRule="auto"/>
        <w:ind w:left="360"/>
        <w:jc w:val="both"/>
      </w:pPr>
      <w:r>
        <w:rPr>
          <w:rFonts w:ascii="Arial" w:hAnsi="Arial" w:cs="Arial"/>
          <w:sz w:val="20"/>
          <w:szCs w:val="20"/>
        </w:rPr>
        <w:t xml:space="preserve">Robbie GJ, et al. A novel investigational Fc-modified humanized monoclonal antibody, motavizumab-YTE, has an extended half-life in healthy adults. </w:t>
      </w:r>
      <w:r>
        <w:rPr>
          <w:rFonts w:ascii="Arial" w:hAnsi="Arial" w:cs="Arial"/>
          <w:i/>
          <w:iCs/>
          <w:sz w:val="20"/>
          <w:szCs w:val="20"/>
        </w:rPr>
        <w:t>Antimicrob Agents Chemother</w:t>
      </w:r>
      <w:r>
        <w:rPr>
          <w:rFonts w:ascii="Arial" w:hAnsi="Arial" w:cs="Arial"/>
          <w:sz w:val="20"/>
          <w:szCs w:val="20"/>
        </w:rPr>
        <w:t>. 2013; 57 (12): 6147-53.</w:t>
      </w:r>
    </w:p>
    <w:p w14:paraId="1833CE33" w14:textId="77777777" w:rsidR="00A73098" w:rsidRDefault="000C2FF1">
      <w:pPr>
        <w:pStyle w:val="EndNoteBibliography"/>
        <w:numPr>
          <w:ilvl w:val="0"/>
          <w:numId w:val="19"/>
        </w:numPr>
        <w:spacing w:after="0" w:line="276" w:lineRule="auto"/>
        <w:ind w:left="360"/>
        <w:jc w:val="both"/>
      </w:pPr>
      <w:r>
        <w:rPr>
          <w:rFonts w:ascii="Arial" w:hAnsi="Arial" w:cs="Arial"/>
          <w:sz w:val="20"/>
          <w:szCs w:val="20"/>
        </w:rPr>
        <w:t xml:space="preserve">Griffin MP, et al. Safety, tolerability, and pharmacokinetics of MEDI8897, the respiratory syncytial virus prefusion F-targeting monoclonal antibody with an extended half-life, in healthy adults. </w:t>
      </w:r>
      <w:r>
        <w:rPr>
          <w:rFonts w:ascii="Arial" w:hAnsi="Arial" w:cs="Arial"/>
          <w:i/>
          <w:iCs/>
          <w:sz w:val="20"/>
          <w:szCs w:val="20"/>
        </w:rPr>
        <w:t>Antimicrob Agents Chemother</w:t>
      </w:r>
      <w:r>
        <w:rPr>
          <w:rFonts w:ascii="Arial" w:hAnsi="Arial" w:cs="Arial"/>
          <w:sz w:val="20"/>
          <w:szCs w:val="20"/>
        </w:rPr>
        <w:t>. 2017; 61(3): e01714-16.</w:t>
      </w:r>
    </w:p>
    <w:p w14:paraId="167A36D9" w14:textId="77777777" w:rsidR="00A73098" w:rsidRDefault="000C2FF1">
      <w:pPr>
        <w:pStyle w:val="EndNoteBibliography"/>
        <w:numPr>
          <w:ilvl w:val="0"/>
          <w:numId w:val="19"/>
        </w:numPr>
        <w:spacing w:after="0" w:line="276" w:lineRule="auto"/>
        <w:ind w:left="360"/>
        <w:jc w:val="both"/>
      </w:pPr>
      <w:r>
        <w:rPr>
          <w:rFonts w:ascii="Arial" w:hAnsi="Arial" w:cs="Arial"/>
          <w:sz w:val="20"/>
          <w:szCs w:val="20"/>
          <w:lang w:val="fr-MA"/>
        </w:rPr>
        <w:t>Domachowske JB, et al. Sécurité, tolérance et pharmacocinétique de MEDI8897, un anticorps monoclonal ciblant la préfusion F du virus respiratoire syncytial à demi-vie prolongée, administré en dose unique à des prématurés en bonne santé. Pediatr Infect Dis J. 2018 ; 37(9) : 886-892.</w:t>
      </w:r>
    </w:p>
    <w:p w14:paraId="6996DEC6" w14:textId="77777777" w:rsidR="00A73098" w:rsidRDefault="000C2FF1">
      <w:pPr>
        <w:pStyle w:val="EndNoteBibliography"/>
        <w:numPr>
          <w:ilvl w:val="0"/>
          <w:numId w:val="19"/>
        </w:numPr>
        <w:spacing w:after="0" w:line="276" w:lineRule="auto"/>
        <w:ind w:left="360"/>
        <w:jc w:val="both"/>
      </w:pPr>
      <w:r>
        <w:rPr>
          <w:rFonts w:ascii="Arial" w:hAnsi="Arial" w:cs="Arial"/>
          <w:sz w:val="20"/>
          <w:szCs w:val="20"/>
          <w:lang w:val="fr-MA"/>
        </w:rPr>
        <w:t>15.</w:t>
      </w:r>
      <w:r>
        <w:rPr>
          <w:rFonts w:ascii="Arial" w:hAnsi="Arial" w:cs="Arial"/>
          <w:sz w:val="20"/>
          <w:szCs w:val="20"/>
          <w:lang w:val="fr-MA"/>
        </w:rPr>
        <w:tab/>
        <w:t xml:space="preserve">Communiqué de presse d'AstraZeneca. De nouvelles analyses de deux essais AZD7442 COVID-19 dans des populations à haut risque confirment une efficacité robuste et une prévention à long terme.  Disponible sur : </w:t>
      </w:r>
      <w:hyperlink r:id="rId24" w:history="1">
        <w:r>
          <w:rPr>
            <w:rStyle w:val="Internetlink"/>
            <w:rFonts w:ascii="Arial" w:hAnsi="Arial" w:cs="Arial"/>
            <w:sz w:val="20"/>
            <w:szCs w:val="20"/>
            <w:lang w:val="fr-MA"/>
          </w:rPr>
          <w:t>https://www.astrazeneca.com/media-centre/press-releases/2021/new-analyses-of-two-azd7442-covid-19-phase-iii-trials-in-high-risk-populations-confirm-robust-efficacy-and-long-term-prevention.html</w:t>
        </w:r>
      </w:hyperlink>
      <w:r>
        <w:rPr>
          <w:rFonts w:ascii="Arial" w:hAnsi="Arial" w:cs="Arial"/>
          <w:sz w:val="20"/>
          <w:szCs w:val="20"/>
          <w:lang w:val="fr-MA"/>
        </w:rPr>
        <w:t xml:space="preserve">. </w:t>
      </w:r>
      <w:r>
        <w:rPr>
          <w:rFonts w:ascii="Arial" w:eastAsia="Times New Roman" w:hAnsi="Arial" w:cs="Arial"/>
          <w:spacing w:val="5"/>
          <w:sz w:val="20"/>
          <w:szCs w:val="20"/>
        </w:rPr>
        <w:t>[Dernier accès : décembre 2021].</w:t>
      </w:r>
    </w:p>
    <w:p w14:paraId="5BED37C1" w14:textId="77777777" w:rsidR="00A73098" w:rsidRDefault="000C2FF1">
      <w:pPr>
        <w:pStyle w:val="Pardeliste"/>
        <w:numPr>
          <w:ilvl w:val="0"/>
          <w:numId w:val="19"/>
        </w:numPr>
        <w:spacing w:line="276" w:lineRule="auto"/>
        <w:ind w:left="360"/>
        <w:jc w:val="both"/>
      </w:pPr>
      <w:r>
        <w:rPr>
          <w:rFonts w:ascii="Arial" w:hAnsi="Arial"/>
          <w:sz w:val="20"/>
          <w:szCs w:val="20"/>
          <w:lang w:val="da-DK"/>
        </w:rPr>
        <w:t xml:space="preserve">van Erp EA, et al. </w:t>
      </w:r>
      <w:r>
        <w:rPr>
          <w:rFonts w:ascii="Arial" w:hAnsi="Arial"/>
          <w:sz w:val="20"/>
          <w:szCs w:val="20"/>
        </w:rPr>
        <w:t xml:space="preserve">Fc-mediated antibody effector functions during respiratory syncytial virus infection and disease. </w:t>
      </w:r>
      <w:r>
        <w:rPr>
          <w:rFonts w:ascii="Arial" w:hAnsi="Arial"/>
          <w:i/>
          <w:iCs/>
          <w:sz w:val="20"/>
          <w:szCs w:val="20"/>
        </w:rPr>
        <w:t>Front Immunol</w:t>
      </w:r>
      <w:r>
        <w:rPr>
          <w:rFonts w:ascii="Arial" w:hAnsi="Arial"/>
          <w:sz w:val="20"/>
          <w:szCs w:val="20"/>
        </w:rPr>
        <w:t>. 2019; 10: 548.</w:t>
      </w:r>
      <w:bookmarkStart w:id="3" w:name="_Hlk76041071"/>
      <w:bookmarkEnd w:id="3"/>
    </w:p>
    <w:p w14:paraId="3680E18C" w14:textId="77777777" w:rsidR="00A73098" w:rsidRDefault="00A73098">
      <w:pPr>
        <w:pStyle w:val="Standard"/>
      </w:pPr>
      <w:bookmarkStart w:id="4" w:name="_Hlk62820752"/>
      <w:bookmarkStart w:id="5" w:name="_Hlk59024420"/>
      <w:bookmarkEnd w:id="4"/>
      <w:bookmarkEnd w:id="5"/>
    </w:p>
    <w:p w14:paraId="09598A0F" w14:textId="77777777" w:rsidR="00A73098" w:rsidRDefault="00A73098">
      <w:pPr>
        <w:pStyle w:val="Standard"/>
        <w:jc w:val="both"/>
      </w:pPr>
      <w:bookmarkStart w:id="6" w:name="_Hlk62220840"/>
      <w:bookmarkStart w:id="7" w:name="_Hlk88585552"/>
      <w:bookmarkStart w:id="8" w:name="_Hlk77669092"/>
      <w:bookmarkEnd w:id="6"/>
      <w:bookmarkEnd w:id="7"/>
      <w:bookmarkEnd w:id="8"/>
    </w:p>
    <w:p w14:paraId="4B121EE4" w14:textId="77777777" w:rsidR="00A73098" w:rsidRDefault="00A73098">
      <w:pPr>
        <w:pStyle w:val="Standard"/>
        <w:jc w:val="both"/>
      </w:pPr>
    </w:p>
    <w:sectPr w:rsidR="00A73098">
      <w:headerReference w:type="default" r:id="rId25"/>
      <w:footerReference w:type="default" r:id="rId26"/>
      <w:headerReference w:type="first" r:id="rId27"/>
      <w:footerReference w:type="first" r:id="rId28"/>
      <w:pgSz w:w="11906" w:h="16838"/>
      <w:pgMar w:top="1440" w:right="1440" w:bottom="1440" w:left="1440" w:header="708" w:footer="70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81B06" w14:textId="77777777" w:rsidR="0073674E" w:rsidRDefault="0073674E">
      <w:r>
        <w:separator/>
      </w:r>
    </w:p>
  </w:endnote>
  <w:endnote w:type="continuationSeparator" w:id="0">
    <w:p w14:paraId="323DF79D" w14:textId="77777777" w:rsidR="0073674E" w:rsidRDefault="0073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panose1 w:val="020B0609070205080204"/>
    <w:charset w:val="80"/>
    <w:family w:val="swiss"/>
    <w:pitch w:val="fixed"/>
    <w:sig w:usb0="E00002FF" w:usb1="6AC7FDFB" w:usb2="08000012" w:usb3="00000000" w:csb0="0002009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Segoe UI">
    <w:altName w:val="Calibri"/>
    <w:charset w:val="00"/>
    <w:family w:val="swiss"/>
    <w:pitch w:val="variable"/>
    <w:sig w:usb0="E4002EFF" w:usb1="C000E47F" w:usb2="00000009" w:usb3="00000000" w:csb0="000001FF" w:csb1="00000000"/>
  </w:font>
  <w:font w:name="Helvetica 55 Roman">
    <w:altName w:val="Arial"/>
    <w:charset w:val="00"/>
    <w:family w:val="auto"/>
    <w:pitch w:val="variable"/>
    <w:sig w:usb0="E00002FF" w:usb1="5000785B" w:usb2="00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等线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F379" w14:textId="77777777" w:rsidR="008C4145" w:rsidRDefault="000C2FF1">
    <w:pPr>
      <w:pStyle w:val="Pieddepage"/>
      <w:jc w:val="right"/>
    </w:pPr>
    <w:r>
      <w:rPr>
        <w:rFonts w:ascii="Arial" w:hAnsi="Arial"/>
        <w:b/>
        <w:sz w:val="16"/>
        <w:szCs w:val="16"/>
      </w:rPr>
      <w:t xml:space="preserve">Page </w:t>
    </w:r>
    <w:r>
      <w:rPr>
        <w:rFonts w:ascii="Arial" w:hAnsi="Arial"/>
        <w:b/>
        <w:bCs/>
        <w:sz w:val="16"/>
        <w:szCs w:val="16"/>
      </w:rPr>
      <w:fldChar w:fldCharType="begin"/>
    </w:r>
    <w:r>
      <w:rPr>
        <w:rFonts w:ascii="Arial" w:hAnsi="Arial"/>
        <w:b/>
        <w:bCs/>
        <w:sz w:val="16"/>
        <w:szCs w:val="16"/>
      </w:rPr>
      <w:instrText xml:space="preserve"> PAGE </w:instrText>
    </w:r>
    <w:r>
      <w:rPr>
        <w:rFonts w:ascii="Arial" w:hAnsi="Arial"/>
        <w:b/>
        <w:bCs/>
        <w:sz w:val="16"/>
        <w:szCs w:val="16"/>
      </w:rPr>
      <w:fldChar w:fldCharType="separate"/>
    </w:r>
    <w:r w:rsidR="00DE271D">
      <w:rPr>
        <w:rFonts w:ascii="Arial" w:hAnsi="Arial"/>
        <w:b/>
        <w:bCs/>
        <w:noProof/>
        <w:sz w:val="16"/>
        <w:szCs w:val="16"/>
      </w:rPr>
      <w:t>2</w:t>
    </w:r>
    <w:r>
      <w:rPr>
        <w:rFonts w:ascii="Arial" w:hAnsi="Arial"/>
        <w:b/>
        <w:bCs/>
        <w:sz w:val="16"/>
        <w:szCs w:val="16"/>
      </w:rPr>
      <w:fldChar w:fldCharType="end"/>
    </w:r>
    <w:r>
      <w:rPr>
        <w:rFonts w:ascii="Arial" w:hAnsi="Arial"/>
        <w:b/>
        <w:sz w:val="16"/>
        <w:szCs w:val="16"/>
      </w:rPr>
      <w:t xml:space="preserve"> of </w:t>
    </w:r>
    <w:r>
      <w:rPr>
        <w:rFonts w:ascii="Arial" w:hAnsi="Arial"/>
        <w:b/>
        <w:bCs/>
        <w:sz w:val="16"/>
        <w:szCs w:val="16"/>
      </w:rPr>
      <w:fldChar w:fldCharType="begin"/>
    </w:r>
    <w:r>
      <w:rPr>
        <w:rFonts w:ascii="Arial" w:hAnsi="Arial"/>
        <w:b/>
        <w:bCs/>
        <w:sz w:val="16"/>
        <w:szCs w:val="16"/>
      </w:rPr>
      <w:instrText xml:space="preserve"> NUMPAGES </w:instrText>
    </w:r>
    <w:r>
      <w:rPr>
        <w:rFonts w:ascii="Arial" w:hAnsi="Arial"/>
        <w:b/>
        <w:bCs/>
        <w:sz w:val="16"/>
        <w:szCs w:val="16"/>
      </w:rPr>
      <w:fldChar w:fldCharType="separate"/>
    </w:r>
    <w:r w:rsidR="00DE271D">
      <w:rPr>
        <w:rFonts w:ascii="Arial" w:hAnsi="Arial"/>
        <w:b/>
        <w:bCs/>
        <w:noProof/>
        <w:sz w:val="16"/>
        <w:szCs w:val="16"/>
      </w:rPr>
      <w:t>5</w:t>
    </w:r>
    <w:r>
      <w:rPr>
        <w:rFonts w:ascii="Arial" w:hAnsi="Arial"/>
        <w:b/>
        <w:bCs/>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17" w:type="dxa"/>
      <w:tblLayout w:type="fixed"/>
      <w:tblCellMar>
        <w:left w:w="10" w:type="dxa"/>
        <w:right w:w="10" w:type="dxa"/>
      </w:tblCellMar>
      <w:tblLook w:val="0000" w:firstRow="0" w:lastRow="0" w:firstColumn="0" w:lastColumn="0" w:noHBand="0" w:noVBand="0"/>
    </w:tblPr>
    <w:tblGrid>
      <w:gridCol w:w="1100"/>
      <w:gridCol w:w="459"/>
      <w:gridCol w:w="7458"/>
    </w:tblGrid>
    <w:tr w:rsidR="008C4145" w14:paraId="1BCED891" w14:textId="77777777">
      <w:tc>
        <w:tcPr>
          <w:tcW w:w="1100" w:type="dxa"/>
          <w:tcBorders>
            <w:right w:val="single" w:sz="4" w:space="0" w:color="000000"/>
          </w:tcBorders>
          <w:tcMar>
            <w:top w:w="0" w:type="dxa"/>
            <w:left w:w="108" w:type="dxa"/>
            <w:bottom w:w="0" w:type="dxa"/>
            <w:right w:w="108" w:type="dxa"/>
          </w:tcMar>
        </w:tcPr>
        <w:p w14:paraId="679D0D22" w14:textId="77777777" w:rsidR="008C4145" w:rsidRDefault="0073674E">
          <w:pPr>
            <w:pStyle w:val="Address"/>
            <w:spacing w:line="160" w:lineRule="atLeast"/>
            <w:rPr>
              <w:rFonts w:ascii="Times New Roman" w:hAnsi="Times New Roman" w:cs="Times New Roman"/>
              <w:color w:val="830051"/>
              <w:sz w:val="20"/>
              <w:szCs w:val="20"/>
              <w:lang w:eastAsia="en-GB"/>
            </w:rPr>
          </w:pPr>
        </w:p>
      </w:tc>
      <w:tc>
        <w:tcPr>
          <w:tcW w:w="7916" w:type="dxa"/>
          <w:gridSpan w:val="2"/>
          <w:tcBorders>
            <w:left w:val="single" w:sz="4" w:space="0" w:color="000000"/>
          </w:tcBorders>
          <w:tcMar>
            <w:top w:w="0" w:type="dxa"/>
            <w:left w:w="108" w:type="dxa"/>
            <w:bottom w:w="0" w:type="dxa"/>
            <w:right w:w="108" w:type="dxa"/>
          </w:tcMar>
        </w:tcPr>
        <w:p w14:paraId="0F0DB469" w14:textId="77777777" w:rsidR="008C4145" w:rsidRDefault="0073674E">
          <w:pPr>
            <w:pStyle w:val="Address"/>
            <w:spacing w:line="160" w:lineRule="atLeast"/>
            <w:rPr>
              <w:rFonts w:ascii="Times New Roman" w:hAnsi="Times New Roman" w:cs="Times New Roman"/>
              <w:b w:val="0"/>
              <w:sz w:val="20"/>
              <w:szCs w:val="20"/>
              <w:lang w:eastAsia="en-GB"/>
            </w:rPr>
          </w:pPr>
        </w:p>
      </w:tc>
    </w:tr>
    <w:tr w:rsidR="008C4145" w14:paraId="30454317" w14:textId="77777777">
      <w:tc>
        <w:tcPr>
          <w:tcW w:w="1559" w:type="dxa"/>
          <w:gridSpan w:val="2"/>
          <w:tcBorders>
            <w:right w:val="single" w:sz="4" w:space="0" w:color="000000"/>
          </w:tcBorders>
          <w:tcMar>
            <w:top w:w="0" w:type="dxa"/>
            <w:left w:w="108" w:type="dxa"/>
            <w:bottom w:w="0" w:type="dxa"/>
            <w:right w:w="108" w:type="dxa"/>
          </w:tcMar>
        </w:tcPr>
        <w:p w14:paraId="695703E5" w14:textId="77777777" w:rsidR="008C4145" w:rsidRDefault="000C2FF1">
          <w:pPr>
            <w:pStyle w:val="Standard"/>
            <w:rPr>
              <w:rFonts w:eastAsia="Times New Roman"/>
              <w:szCs w:val="20"/>
              <w:lang w:eastAsia="en-GB"/>
            </w:rPr>
          </w:pPr>
          <w:r>
            <w:rPr>
              <w:rFonts w:ascii="Arial" w:eastAsia="Times New Roman" w:hAnsi="Arial"/>
              <w:b/>
              <w:color w:val="830051"/>
              <w:sz w:val="16"/>
              <w:szCs w:val="20"/>
              <w:lang w:eastAsia="en-GB"/>
            </w:rPr>
            <w:t>AstraZeneca PLC</w:t>
          </w:r>
        </w:p>
      </w:tc>
      <w:tc>
        <w:tcPr>
          <w:tcW w:w="7457" w:type="dxa"/>
          <w:tcBorders>
            <w:left w:val="single" w:sz="4" w:space="0" w:color="000000"/>
          </w:tcBorders>
          <w:tcMar>
            <w:top w:w="0" w:type="dxa"/>
            <w:left w:w="108" w:type="dxa"/>
            <w:bottom w:w="0" w:type="dxa"/>
            <w:right w:w="108" w:type="dxa"/>
          </w:tcMar>
        </w:tcPr>
        <w:p w14:paraId="4A3D647F" w14:textId="77777777" w:rsidR="008C4145" w:rsidRDefault="000C2FF1">
          <w:pPr>
            <w:pStyle w:val="Standard"/>
            <w:rPr>
              <w:rFonts w:eastAsia="Times New Roman"/>
              <w:szCs w:val="20"/>
              <w:lang w:eastAsia="en-GB"/>
            </w:rPr>
          </w:pPr>
          <w:r>
            <w:rPr>
              <w:rFonts w:ascii="Arial" w:eastAsia="Times New Roman" w:hAnsi="Arial"/>
              <w:color w:val="3F4444"/>
              <w:sz w:val="16"/>
              <w:szCs w:val="20"/>
              <w:lang w:eastAsia="en-GB"/>
            </w:rPr>
            <w:t>1 Francis Crick Avenue, Cambridge Biomedical Campus, Cambridge CB2 0AA, United Kingdom</w:t>
          </w:r>
        </w:p>
      </w:tc>
    </w:tr>
    <w:tr w:rsidR="008C4145" w14:paraId="4FEB6CF7" w14:textId="77777777">
      <w:tc>
        <w:tcPr>
          <w:tcW w:w="1559" w:type="dxa"/>
          <w:gridSpan w:val="2"/>
          <w:tcBorders>
            <w:right w:val="single" w:sz="4" w:space="0" w:color="000000"/>
          </w:tcBorders>
          <w:tcMar>
            <w:top w:w="0" w:type="dxa"/>
            <w:left w:w="108" w:type="dxa"/>
            <w:bottom w:w="0" w:type="dxa"/>
            <w:right w:w="108" w:type="dxa"/>
          </w:tcMar>
        </w:tcPr>
        <w:p w14:paraId="6C2B92DC" w14:textId="77777777" w:rsidR="008C4145" w:rsidRDefault="0073674E">
          <w:pPr>
            <w:pStyle w:val="Standard"/>
            <w:rPr>
              <w:rFonts w:ascii="Times New Roman" w:eastAsia="Times New Roman" w:hAnsi="Times New Roman" w:cs="Times New Roman"/>
              <w:sz w:val="20"/>
              <w:szCs w:val="20"/>
              <w:lang w:eastAsia="en-GB"/>
            </w:rPr>
          </w:pPr>
        </w:p>
      </w:tc>
      <w:tc>
        <w:tcPr>
          <w:tcW w:w="7457" w:type="dxa"/>
          <w:tcBorders>
            <w:left w:val="single" w:sz="4" w:space="0" w:color="000000"/>
          </w:tcBorders>
          <w:tcMar>
            <w:top w:w="0" w:type="dxa"/>
            <w:left w:w="108" w:type="dxa"/>
            <w:bottom w:w="0" w:type="dxa"/>
            <w:right w:w="108" w:type="dxa"/>
          </w:tcMar>
        </w:tcPr>
        <w:p w14:paraId="5EADE307" w14:textId="77777777" w:rsidR="008C4145" w:rsidRDefault="000C2FF1">
          <w:pPr>
            <w:pStyle w:val="Standard"/>
            <w:rPr>
              <w:rFonts w:eastAsia="Times New Roman"/>
              <w:szCs w:val="20"/>
              <w:lang w:eastAsia="en-GB"/>
            </w:rPr>
          </w:pPr>
          <w:r>
            <w:rPr>
              <w:rFonts w:ascii="Arial" w:eastAsia="Times New Roman" w:hAnsi="Arial"/>
              <w:color w:val="3F4444"/>
              <w:sz w:val="16"/>
              <w:szCs w:val="20"/>
              <w:lang w:eastAsia="en-GB"/>
            </w:rPr>
            <w:t>+44 (0)20 3749 5000 | astrazeneca.com</w:t>
          </w:r>
        </w:p>
      </w:tc>
    </w:tr>
  </w:tbl>
  <w:p w14:paraId="15C02F60" w14:textId="77777777" w:rsidR="008C4145" w:rsidRDefault="0073674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CE050" w14:textId="77777777" w:rsidR="0073674E" w:rsidRDefault="0073674E">
      <w:r>
        <w:rPr>
          <w:color w:val="000000"/>
        </w:rPr>
        <w:separator/>
      </w:r>
    </w:p>
  </w:footnote>
  <w:footnote w:type="continuationSeparator" w:id="0">
    <w:p w14:paraId="5BFC9DD0" w14:textId="77777777" w:rsidR="0073674E" w:rsidRDefault="007367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CFD6" w14:textId="77777777" w:rsidR="008C4145" w:rsidRDefault="000C2FF1">
    <w:pPr>
      <w:pStyle w:val="Standard"/>
      <w:tabs>
        <w:tab w:val="left" w:pos="4275"/>
      </w:tabs>
    </w:pPr>
    <w:r>
      <w:rPr>
        <w:noProof/>
        <w:lang w:val="fr-FR" w:eastAsia="fr-FR"/>
      </w:rPr>
      <w:drawing>
        <wp:anchor distT="0" distB="0" distL="114300" distR="114300" simplePos="0" relativeHeight="251659264" behindDoc="0" locked="0" layoutInCell="1" allowOverlap="1" wp14:anchorId="01FCF676" wp14:editId="6087BD45">
          <wp:simplePos x="0" y="0"/>
          <wp:positionH relativeFrom="margin">
            <wp:align>right</wp:align>
          </wp:positionH>
          <wp:positionV relativeFrom="page">
            <wp:posOffset>226080</wp:posOffset>
          </wp:positionV>
          <wp:extent cx="1600200" cy="481320"/>
          <wp:effectExtent l="0" t="0" r="0" b="1280"/>
          <wp:wrapTight wrapText="bothSides">
            <wp:wrapPolygon edited="0">
              <wp:start x="0" y="0"/>
              <wp:lineTo x="0" y="21088"/>
              <wp:lineTo x="21429" y="21088"/>
              <wp:lineTo x="21429" y="0"/>
              <wp:lineTo x="0" y="0"/>
            </wp:wrapPolygon>
          </wp:wrapTight>
          <wp:docPr id="1" name="Picture 2" descr="AZ_RGB_H_PO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7888" r="8709" b="24119"/>
                  <a:stretch>
                    <a:fillRect/>
                  </a:stretch>
                </pic:blipFill>
                <pic:spPr>
                  <a:xfrm>
                    <a:off x="0" y="0"/>
                    <a:ext cx="1600200" cy="481320"/>
                  </a:xfrm>
                  <a:prstGeom prst="rect">
                    <a:avLst/>
                  </a:prstGeom>
                  <a:noFill/>
                  <a:ln>
                    <a:noFill/>
                    <a:prstDash/>
                  </a:ln>
                </pic:spPr>
              </pic:pic>
            </a:graphicData>
          </a:graphic>
        </wp:anchor>
      </w:drawing>
    </w:r>
    <w:r>
      <w:rPr>
        <w:rFonts w:ascii="Arial" w:eastAsia="Times New Roman" w:hAnsi="Arial"/>
        <w:b/>
        <w:bCs/>
        <w:color w:val="8B034F"/>
        <w:sz w:val="36"/>
        <w:szCs w:val="36"/>
      </w:rPr>
      <w:t>News Release</w:t>
    </w:r>
    <w:r>
      <w:rPr>
        <w:rFonts w:ascii="Arial" w:eastAsia="Times New Roman" w:hAnsi="Arial"/>
        <w:b/>
        <w:color w:val="8B034F"/>
        <w:sz w:val="36"/>
        <w:szCs w:val="24"/>
      </w:rPr>
      <w:tab/>
    </w:r>
  </w:p>
  <w:p w14:paraId="0CF0F7C6" w14:textId="77777777" w:rsidR="008C4145" w:rsidRDefault="000C2FF1">
    <w:pPr>
      <w:pStyle w:val="En-tte"/>
      <w:tabs>
        <w:tab w:val="clear" w:pos="4513"/>
        <w:tab w:val="clear" w:pos="9026"/>
        <w:tab w:val="left" w:pos="4275"/>
      </w:tabs>
    </w:pPr>
    <w:r>
      <w:rPr>
        <w:rFonts w:ascii="Arial" w:eastAsia="Times New Roman" w:hAnsi="Arial"/>
        <w:b/>
        <w:color w:val="830051"/>
        <w:sz w:val="32"/>
        <w:szCs w:val="31"/>
        <w:vertAlign w:val="subscript"/>
      </w:rPr>
      <w:t>Regulatory News Service</w:t>
    </w:r>
  </w:p>
  <w:p w14:paraId="135E0ECB" w14:textId="77777777" w:rsidR="008C4145" w:rsidRDefault="0073674E">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54F7D" w14:textId="77777777" w:rsidR="008C4145" w:rsidRDefault="000C2FF1">
    <w:pPr>
      <w:pStyle w:val="Standard"/>
      <w:tabs>
        <w:tab w:val="left" w:pos="4275"/>
      </w:tabs>
    </w:pPr>
    <w:r>
      <w:rPr>
        <w:noProof/>
        <w:lang w:val="fr-FR" w:eastAsia="fr-FR"/>
      </w:rPr>
      <w:drawing>
        <wp:anchor distT="0" distB="0" distL="114300" distR="114300" simplePos="0" relativeHeight="251661312" behindDoc="0" locked="0" layoutInCell="1" allowOverlap="1" wp14:anchorId="5274E6F2" wp14:editId="69CCAB73">
          <wp:simplePos x="0" y="0"/>
          <wp:positionH relativeFrom="margin">
            <wp:align>right</wp:align>
          </wp:positionH>
          <wp:positionV relativeFrom="page">
            <wp:posOffset>226080</wp:posOffset>
          </wp:positionV>
          <wp:extent cx="1600200" cy="481320"/>
          <wp:effectExtent l="0" t="0" r="0" b="1280"/>
          <wp:wrapTight wrapText="bothSides">
            <wp:wrapPolygon edited="0">
              <wp:start x="0" y="0"/>
              <wp:lineTo x="0" y="21088"/>
              <wp:lineTo x="21429" y="21088"/>
              <wp:lineTo x="21429" y="0"/>
              <wp:lineTo x="0" y="0"/>
            </wp:wrapPolygon>
          </wp:wrapTight>
          <wp:docPr id="2" name="Picture 3" descr="AZ_RGB_H_PO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7888" r="8709" b="24119"/>
                  <a:stretch>
                    <a:fillRect/>
                  </a:stretch>
                </pic:blipFill>
                <pic:spPr>
                  <a:xfrm>
                    <a:off x="0" y="0"/>
                    <a:ext cx="1600200" cy="481320"/>
                  </a:xfrm>
                  <a:prstGeom prst="rect">
                    <a:avLst/>
                  </a:prstGeom>
                  <a:noFill/>
                  <a:ln>
                    <a:noFill/>
                    <a:prstDash/>
                  </a:ln>
                </pic:spPr>
              </pic:pic>
            </a:graphicData>
          </a:graphic>
        </wp:anchor>
      </w:drawing>
    </w:r>
    <w:r>
      <w:rPr>
        <w:rFonts w:ascii="Arial" w:eastAsia="Times New Roman" w:hAnsi="Arial"/>
        <w:b/>
        <w:bCs/>
        <w:color w:val="8B034F"/>
        <w:sz w:val="36"/>
        <w:szCs w:val="36"/>
      </w:rPr>
      <w:t>News Release</w:t>
    </w:r>
    <w:r>
      <w:rPr>
        <w:rFonts w:ascii="Arial" w:eastAsia="Times New Roman" w:hAnsi="Arial"/>
        <w:b/>
        <w:color w:val="8B034F"/>
        <w:sz w:val="36"/>
        <w:szCs w:val="24"/>
      </w:rPr>
      <w:tab/>
    </w:r>
  </w:p>
  <w:p w14:paraId="6BA724A8" w14:textId="77777777" w:rsidR="008C4145" w:rsidRDefault="000C2FF1">
    <w:pPr>
      <w:pStyle w:val="Standard"/>
      <w:tabs>
        <w:tab w:val="center" w:pos="4320"/>
        <w:tab w:val="right" w:pos="8640"/>
      </w:tabs>
      <w:rPr>
        <w:rFonts w:ascii="Arial" w:eastAsia="Times New Roman" w:hAnsi="Arial" w:cs="Times New Roman"/>
        <w:b/>
        <w:color w:val="8B034F"/>
        <w:sz w:val="36"/>
        <w:szCs w:val="24"/>
      </w:rPr>
    </w:pPr>
    <w:r>
      <w:rPr>
        <w:rFonts w:ascii="Arial" w:eastAsia="Times New Roman" w:hAnsi="Arial" w:cs="Times New Roman"/>
        <w:b/>
        <w:noProof/>
        <w:color w:val="8B034F"/>
        <w:sz w:val="36"/>
        <w:szCs w:val="24"/>
        <w:lang w:val="fr-FR" w:eastAsia="fr-FR"/>
      </w:rPr>
      <mc:AlternateContent>
        <mc:Choice Requires="wps">
          <w:drawing>
            <wp:anchor distT="0" distB="0" distL="114300" distR="114300" simplePos="0" relativeHeight="251662336" behindDoc="1" locked="0" layoutInCell="1" allowOverlap="1" wp14:anchorId="6BDA5D4D" wp14:editId="333A3CD9">
              <wp:simplePos x="0" y="0"/>
              <wp:positionH relativeFrom="column">
                <wp:posOffset>0</wp:posOffset>
              </wp:positionH>
              <wp:positionV relativeFrom="paragraph">
                <wp:posOffset>95400</wp:posOffset>
              </wp:positionV>
              <wp:extent cx="5829480" cy="720"/>
              <wp:effectExtent l="0" t="0" r="25220" b="24680"/>
              <wp:wrapNone/>
              <wp:docPr id="3" name="Line 6"/>
              <wp:cNvGraphicFramePr/>
              <a:graphic xmlns:a="http://schemas.openxmlformats.org/drawingml/2006/main">
                <a:graphicData uri="http://schemas.microsoft.com/office/word/2010/wordprocessingShape">
                  <wps:wsp>
                    <wps:cNvCnPr/>
                    <wps:spPr>
                      <a:xfrm>
                        <a:off x="0" y="0"/>
                        <a:ext cx="5829480" cy="720"/>
                      </a:xfrm>
                      <a:prstGeom prst="line">
                        <a:avLst/>
                      </a:prstGeom>
                      <a:noFill/>
                      <a:ln w="12600">
                        <a:solidFill>
                          <a:srgbClr val="8B034F"/>
                        </a:solidFill>
                        <a:prstDash val="solid"/>
                        <a:round/>
                      </a:ln>
                    </wps:spPr>
                    <wps:bodyPr/>
                  </wps:wsp>
                </a:graphicData>
              </a:graphic>
            </wp:anchor>
          </w:drawing>
        </mc:Choice>
        <mc:Fallback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7509613">
            <v:line id="Line 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o:spid="_x0000_s1026" strokecolor="#8b034f" strokeweight=".35mm" from="0,7.5pt" to="459pt,7.55pt" w14:anchorId="3E9A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rrogEAAC0DAAAOAAAAZHJzL2Uyb0RvYy54bWysUstu2zAQvBfIPxC811KUxHUEywEaw7kE&#10;rYG0H0CTlEWAL+wylv33XVKuk7a3IpcluY9ZzuwuH47OsoMGNMF3/HpWc6a9DMr4fcd//th8XnCG&#10;SXglbPC64yeN/GF19Wk5xlY3YQhWaWAE4rEdY8eHlGJbVSgH7QTOQtSegn0AJxI9YV8pECOhO1s1&#10;dT2vxgAqQpAakbzrKchXBb/vtUzf+x51Yrbj9LdULBS7y7ZaLUW7BxEHI8/fEP/xCyeMp6YXqLVI&#10;gr2C+QfKGQkBQ59mMrgq9L2RunAgNtf1X2xeBhF14ULiYLzIhB8HK78dtsCM6vgNZ144GtGz8ZrN&#10;szJjxJYSHv0Wzi+MW8g0jz24fBIBdixqni5q6mNikpx3i+b+dkGiS4p9aYrW1VtpBExPOjiWLx23&#10;1LUoKA7PmKgdpf5OyZ182Bhry7isZyPtWjOv61KBwRqVozkPYb97tMAOgia++Frf3G4yFUL7Iy1D&#10;rwUOU14JTbsA4dWrqcB6qssaTKzzbRfUqYhR/DSTgnzenzz09+9S/bblq18AAAD//wMAUEsDBBQA&#10;BgAIAAAAIQCGdevh3QAAAAsBAAAPAAAAZHJzL2Rvd25yZXYueG1sTE/LTsMwELwj8Q/WInGjTpBA&#10;aRqnQqCIE0J9wNmJt0mKvY5iNw18PdsTXPYxo52dKdazs2LCMfSeFKSLBARS401PrYL9rrrLQISo&#10;yWjrCRV8Y4B1eX1V6Nz4M21w2sZWsAiFXCvoYhxyKUPTodNh4Qck5g5+dDryOrbSjPrM4s7K+yR5&#10;lE73xB86PeBzh83X9uTYxuf+PfuY6uMQq7f0Z7esXjeTVer2Zn5ZcXlagYg4x78LuGTgQyjZWO1P&#10;ZIKwCjhNZPSBO7PLNOOhvgApyLKQ/zOUvwAAAP//AwBQSwECLQAUAAYACAAAACEAtoM4kv4AAADh&#10;AQAAEwAAAAAAAAAAAAAAAAAAAAAAW0NvbnRlbnRfVHlwZXNdLnhtbFBLAQItABQABgAIAAAAIQA4&#10;/SH/1gAAAJQBAAALAAAAAAAAAAAAAAAAAC8BAABfcmVscy8ucmVsc1BLAQItABQABgAIAAAAIQBI&#10;VarrogEAAC0DAAAOAAAAAAAAAAAAAAAAAC4CAABkcnMvZTJvRG9jLnhtbFBLAQItABQABgAIAAAA&#10;IQCGdevh3QAAAAsBAAAPAAAAAAAAAAAAAAAAAPwDAABkcnMvZG93bnJldi54bWxQSwUGAAAAAAQA&#10;BADzAAAABgU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2545"/>
    <w:multiLevelType w:val="multilevel"/>
    <w:tmpl w:val="EC7E427C"/>
    <w:styleLink w:val="WWNum17"/>
    <w:lvl w:ilvl="0">
      <w:numFmt w:val="bullet"/>
      <w:lvlText w:val=""/>
      <w:lvlJc w:val="left"/>
      <w:pPr>
        <w:ind w:left="360" w:hanging="360"/>
      </w:pPr>
      <w:rPr>
        <w:color w:val="auto"/>
      </w:rPr>
    </w:lvl>
    <w:lvl w:ilvl="1">
      <w:numFmt w:val="bullet"/>
      <w:lvlText w:val="o"/>
      <w:lvlJc w:val="left"/>
      <w:pPr>
        <w:ind w:left="1080" w:hanging="360"/>
      </w:pPr>
      <w:rPr>
        <w:rFonts w:cs="Times New Roman"/>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cs="Times New Roman"/>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cs="Times New Roman"/>
      </w:rPr>
    </w:lvl>
    <w:lvl w:ilvl="8">
      <w:numFmt w:val="bullet"/>
      <w:lvlText w:val=""/>
      <w:lvlJc w:val="left"/>
      <w:pPr>
        <w:ind w:left="6120" w:hanging="360"/>
      </w:pPr>
    </w:lvl>
  </w:abstractNum>
  <w:abstractNum w:abstractNumId="1">
    <w:nsid w:val="0271606E"/>
    <w:multiLevelType w:val="multilevel"/>
    <w:tmpl w:val="645EBF84"/>
    <w:styleLink w:val="WWNum8"/>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
    <w:nsid w:val="05122F34"/>
    <w:multiLevelType w:val="multilevel"/>
    <w:tmpl w:val="4CAE181E"/>
    <w:styleLink w:val="WWNum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C135F1F"/>
    <w:multiLevelType w:val="multilevel"/>
    <w:tmpl w:val="FA88D78A"/>
    <w:styleLink w:val="WWNum3"/>
    <w:lvl w:ilvl="0">
      <w:numFmt w:val="bullet"/>
      <w:lvlText w:val="-"/>
      <w:lvlJc w:val="left"/>
      <w:pPr>
        <w:ind w:left="720" w:hanging="360"/>
      </w:pPr>
      <w:rPr>
        <w:rFonts w:eastAsia="Times New Roman"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
    <w:nsid w:val="0D076C89"/>
    <w:multiLevelType w:val="multilevel"/>
    <w:tmpl w:val="40B4A308"/>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39783B"/>
    <w:multiLevelType w:val="multilevel"/>
    <w:tmpl w:val="979A945E"/>
    <w:styleLink w:val="WW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1FC0441F"/>
    <w:multiLevelType w:val="multilevel"/>
    <w:tmpl w:val="3294CC4E"/>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A4F5F8A"/>
    <w:multiLevelType w:val="multilevel"/>
    <w:tmpl w:val="115C34DA"/>
    <w:styleLink w:val="WWNum6"/>
    <w:lvl w:ilvl="0">
      <w:start w:val="1"/>
      <w:numFmt w:val="decimal"/>
      <w:lvlText w:val="%1."/>
      <w:lvlJc w:val="left"/>
      <w:pPr>
        <w:ind w:left="720" w:hanging="360"/>
      </w:pPr>
      <w:rPr>
        <w:rFonts w:cs="Helvetica"/>
        <w:color w:val="3C4242"/>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8866AC"/>
    <w:multiLevelType w:val="multilevel"/>
    <w:tmpl w:val="1EF4E38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8777BE"/>
    <w:multiLevelType w:val="multilevel"/>
    <w:tmpl w:val="0D04B8CA"/>
    <w:styleLink w:val="WWNum22"/>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0">
    <w:nsid w:val="342C3B7C"/>
    <w:multiLevelType w:val="multilevel"/>
    <w:tmpl w:val="6BA4CB72"/>
    <w:styleLink w:val="WWNum5"/>
    <w:lvl w:ilvl="0">
      <w:numFmt w:val="bullet"/>
      <w:lvlText w:val="-"/>
      <w:lvlJc w:val="left"/>
      <w:pPr>
        <w:ind w:left="720" w:hanging="360"/>
      </w:pPr>
      <w:rPr>
        <w:rFonts w:eastAsia="Times New Roman"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1">
    <w:nsid w:val="38C23A3D"/>
    <w:multiLevelType w:val="multilevel"/>
    <w:tmpl w:val="F94441B6"/>
    <w:styleLink w:val="WWNum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2">
    <w:nsid w:val="393271DA"/>
    <w:multiLevelType w:val="multilevel"/>
    <w:tmpl w:val="FB4062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nsid w:val="399370CB"/>
    <w:multiLevelType w:val="multilevel"/>
    <w:tmpl w:val="B34611E4"/>
    <w:styleLink w:val="WWNum24"/>
    <w:lvl w:ilvl="0">
      <w:numFmt w:val="bullet"/>
      <w:lvlText w:val=""/>
      <w:lvlJc w:val="left"/>
      <w:pPr>
        <w:ind w:left="1080" w:hanging="360"/>
      </w:pPr>
    </w:lvl>
    <w:lvl w:ilvl="1">
      <w:numFmt w:val="bullet"/>
      <w:lvlText w:val=""/>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16326FD"/>
    <w:multiLevelType w:val="multilevel"/>
    <w:tmpl w:val="FDEE60B0"/>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41657CBD"/>
    <w:multiLevelType w:val="multilevel"/>
    <w:tmpl w:val="6972B34C"/>
    <w:styleLink w:val="WWNum13"/>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0E40DA"/>
    <w:multiLevelType w:val="multilevel"/>
    <w:tmpl w:val="5712D228"/>
    <w:styleLink w:val="WWNum15"/>
    <w:lvl w:ilvl="0">
      <w:numFmt w:val="bullet"/>
      <w:lvlText w:val=""/>
      <w:lvlJc w:val="left"/>
      <w:pPr>
        <w:ind w:left="1080" w:hanging="360"/>
      </w:pPr>
      <w:rPr>
        <w:color w:val="000000"/>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17">
    <w:nsid w:val="488D0802"/>
    <w:multiLevelType w:val="multilevel"/>
    <w:tmpl w:val="D5A26386"/>
    <w:styleLink w:val="WWNum23"/>
    <w:lvl w:ilvl="0">
      <w:numFmt w:val="bullet"/>
      <w:lvlText w:val=""/>
      <w:lvlJc w:val="left"/>
      <w:pPr>
        <w:ind w:left="720" w:hanging="360"/>
      </w:pPr>
      <w:rPr>
        <w:color w:val="auto"/>
        <w:sz w:val="20"/>
        <w:szCs w:val="20"/>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8">
    <w:nsid w:val="50853948"/>
    <w:multiLevelType w:val="multilevel"/>
    <w:tmpl w:val="5786412C"/>
    <w:styleLink w:val="WWNum12"/>
    <w:lvl w:ilvl="0">
      <w:start w:val="1"/>
      <w:numFmt w:val="decimal"/>
      <w:lvlText w:val="%1."/>
      <w:lvlJc w:val="left"/>
      <w:pPr>
        <w:ind w:left="360" w:hanging="360"/>
      </w:pPr>
      <w:rPr>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3077EB3"/>
    <w:multiLevelType w:val="multilevel"/>
    <w:tmpl w:val="00261C90"/>
    <w:styleLink w:val="WWNum2"/>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0">
    <w:nsid w:val="5B935789"/>
    <w:multiLevelType w:val="multilevel"/>
    <w:tmpl w:val="B97AFFA0"/>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8BD71FF"/>
    <w:multiLevelType w:val="multilevel"/>
    <w:tmpl w:val="23E68C9C"/>
    <w:styleLink w:val="WWNum11"/>
    <w:lvl w:ilvl="0">
      <w:start w:val="6"/>
      <w:numFmt w:val="decimal"/>
      <w:lvlText w:val="%1."/>
      <w:lvlJc w:val="left"/>
      <w:pPr>
        <w:ind w:left="36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92D282D"/>
    <w:multiLevelType w:val="multilevel"/>
    <w:tmpl w:val="12EA20F0"/>
    <w:styleLink w:val="WWNum19"/>
    <w:lvl w:ilvl="0">
      <w:numFmt w:val="bullet"/>
      <w:lvlText w:val=""/>
      <w:lvlJc w:val="left"/>
      <w:pPr>
        <w:ind w:left="1856" w:hanging="360"/>
      </w:pPr>
    </w:lvl>
    <w:lvl w:ilvl="1">
      <w:numFmt w:val="bullet"/>
      <w:lvlText w:val="o"/>
      <w:lvlJc w:val="left"/>
      <w:pPr>
        <w:ind w:left="2576" w:hanging="360"/>
      </w:pPr>
      <w:rPr>
        <w:rFonts w:cs="Courier New"/>
      </w:rPr>
    </w:lvl>
    <w:lvl w:ilvl="2">
      <w:numFmt w:val="bullet"/>
      <w:lvlText w:val=""/>
      <w:lvlJc w:val="left"/>
      <w:pPr>
        <w:ind w:left="3296" w:hanging="360"/>
      </w:pPr>
    </w:lvl>
    <w:lvl w:ilvl="3">
      <w:numFmt w:val="bullet"/>
      <w:lvlText w:val=""/>
      <w:lvlJc w:val="left"/>
      <w:pPr>
        <w:ind w:left="4016" w:hanging="360"/>
      </w:pPr>
    </w:lvl>
    <w:lvl w:ilvl="4">
      <w:numFmt w:val="bullet"/>
      <w:lvlText w:val="o"/>
      <w:lvlJc w:val="left"/>
      <w:pPr>
        <w:ind w:left="4736" w:hanging="360"/>
      </w:pPr>
      <w:rPr>
        <w:rFonts w:cs="Courier New"/>
      </w:rPr>
    </w:lvl>
    <w:lvl w:ilvl="5">
      <w:numFmt w:val="bullet"/>
      <w:lvlText w:val=""/>
      <w:lvlJc w:val="left"/>
      <w:pPr>
        <w:ind w:left="5456" w:hanging="360"/>
      </w:pPr>
    </w:lvl>
    <w:lvl w:ilvl="6">
      <w:numFmt w:val="bullet"/>
      <w:lvlText w:val=""/>
      <w:lvlJc w:val="left"/>
      <w:pPr>
        <w:ind w:left="6176" w:hanging="360"/>
      </w:pPr>
    </w:lvl>
    <w:lvl w:ilvl="7">
      <w:numFmt w:val="bullet"/>
      <w:lvlText w:val="o"/>
      <w:lvlJc w:val="left"/>
      <w:pPr>
        <w:ind w:left="6896" w:hanging="360"/>
      </w:pPr>
      <w:rPr>
        <w:rFonts w:cs="Courier New"/>
      </w:rPr>
    </w:lvl>
    <w:lvl w:ilvl="8">
      <w:numFmt w:val="bullet"/>
      <w:lvlText w:val=""/>
      <w:lvlJc w:val="left"/>
      <w:pPr>
        <w:ind w:left="7616" w:hanging="360"/>
      </w:pPr>
    </w:lvl>
  </w:abstractNum>
  <w:abstractNum w:abstractNumId="23">
    <w:nsid w:val="73E0199A"/>
    <w:multiLevelType w:val="multilevel"/>
    <w:tmpl w:val="9B6CEFB2"/>
    <w:styleLink w:val="WWNum1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4">
    <w:nsid w:val="7CF526AB"/>
    <w:multiLevelType w:val="multilevel"/>
    <w:tmpl w:val="73922CB8"/>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4"/>
  </w:num>
  <w:num w:numId="3">
    <w:abstractNumId w:val="19"/>
  </w:num>
  <w:num w:numId="4">
    <w:abstractNumId w:val="3"/>
  </w:num>
  <w:num w:numId="5">
    <w:abstractNumId w:val="11"/>
  </w:num>
  <w:num w:numId="6">
    <w:abstractNumId w:val="10"/>
  </w:num>
  <w:num w:numId="7">
    <w:abstractNumId w:val="7"/>
  </w:num>
  <w:num w:numId="8">
    <w:abstractNumId w:val="24"/>
  </w:num>
  <w:num w:numId="9">
    <w:abstractNumId w:val="1"/>
  </w:num>
  <w:num w:numId="10">
    <w:abstractNumId w:val="20"/>
  </w:num>
  <w:num w:numId="11">
    <w:abstractNumId w:val="8"/>
  </w:num>
  <w:num w:numId="12">
    <w:abstractNumId w:val="21"/>
  </w:num>
  <w:num w:numId="13">
    <w:abstractNumId w:val="18"/>
  </w:num>
  <w:num w:numId="14">
    <w:abstractNumId w:val="15"/>
  </w:num>
  <w:num w:numId="15">
    <w:abstractNumId w:val="2"/>
  </w:num>
  <w:num w:numId="16">
    <w:abstractNumId w:val="16"/>
  </w:num>
  <w:num w:numId="17">
    <w:abstractNumId w:val="23"/>
  </w:num>
  <w:num w:numId="18">
    <w:abstractNumId w:val="0"/>
  </w:num>
  <w:num w:numId="19">
    <w:abstractNumId w:val="4"/>
  </w:num>
  <w:num w:numId="20">
    <w:abstractNumId w:val="22"/>
  </w:num>
  <w:num w:numId="21">
    <w:abstractNumId w:val="5"/>
  </w:num>
  <w:num w:numId="22">
    <w:abstractNumId w:val="6"/>
  </w:num>
  <w:num w:numId="23">
    <w:abstractNumId w:val="9"/>
  </w:num>
  <w:num w:numId="24">
    <w:abstractNumId w:val="17"/>
  </w:num>
  <w:num w:numId="25">
    <w:abstractNumId w:val="13"/>
  </w:num>
  <w:num w:numId="2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98"/>
    <w:rsid w:val="00077BF4"/>
    <w:rsid w:val="000C2FF1"/>
    <w:rsid w:val="00300283"/>
    <w:rsid w:val="0030507E"/>
    <w:rsid w:val="004B0E86"/>
    <w:rsid w:val="00587B07"/>
    <w:rsid w:val="0064141C"/>
    <w:rsid w:val="0066259C"/>
    <w:rsid w:val="00735A9D"/>
    <w:rsid w:val="0073674E"/>
    <w:rsid w:val="0082793D"/>
    <w:rsid w:val="00886410"/>
    <w:rsid w:val="0097675C"/>
    <w:rsid w:val="00A611A5"/>
    <w:rsid w:val="00A73098"/>
    <w:rsid w:val="00B6115E"/>
    <w:rsid w:val="00B9538B"/>
    <w:rsid w:val="00DE271D"/>
    <w:rsid w:val="5E64AE9C"/>
    <w:rsid w:val="7A89A753"/>
  </w:rsids>
  <m:mathPr>
    <m:mathFont m:val="Cambria Math"/>
    <m:brkBin m:val="before"/>
    <m:brkBinSub m:val="--"/>
    <m:smallFrac m:val="0"/>
    <m:dispDef/>
    <m:lMargin m:val="0"/>
    <m:rMargin m:val="0"/>
    <m:defJc m:val="centerGroup"/>
    <m:wrapIndent m:val="1440"/>
    <m:intLim m:val="subSup"/>
    <m:naryLim m:val="undOvr"/>
  </m:mathPr>
  <w:themeFontLang w:val="fr-M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B0A9"/>
  <w15:docId w15:val="{38A5698A-DF58-2B4F-B429-8283B27B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Standard"/>
    <w:next w:val="Standard"/>
    <w:uiPriority w:val="9"/>
    <w:qFormat/>
    <w:pPr>
      <w:keepNext/>
      <w:keepLines/>
      <w:spacing w:before="400" w:after="40"/>
      <w:outlineLvl w:val="0"/>
    </w:pPr>
    <w:rPr>
      <w:rFonts w:ascii="Cambria" w:eastAsia="MS Gothic" w:hAnsi="Cambria" w:cs="Times New Roman"/>
      <w:caps/>
      <w:sz w:val="36"/>
      <w:szCs w:val="36"/>
    </w:rPr>
  </w:style>
  <w:style w:type="paragraph" w:styleId="Titre2">
    <w:name w:val="heading 2"/>
    <w:basedOn w:val="Standard"/>
    <w:next w:val="Standard"/>
    <w:uiPriority w:val="9"/>
    <w:semiHidden/>
    <w:unhideWhenUsed/>
    <w:qFormat/>
    <w:pPr>
      <w:keepNext/>
      <w:keepLines/>
      <w:spacing w:before="120"/>
      <w:outlineLvl w:val="1"/>
    </w:pPr>
    <w:rPr>
      <w:rFonts w:ascii="Cambria" w:eastAsia="MS Gothic" w:hAnsi="Cambria" w:cs="Times New Roman"/>
      <w:caps/>
      <w:sz w:val="28"/>
      <w:szCs w:val="28"/>
    </w:rPr>
  </w:style>
  <w:style w:type="paragraph" w:styleId="Titre3">
    <w:name w:val="heading 3"/>
    <w:basedOn w:val="Standard"/>
    <w:next w:val="Standard"/>
    <w:uiPriority w:val="9"/>
    <w:semiHidden/>
    <w:unhideWhenUsed/>
    <w:qFormat/>
    <w:pPr>
      <w:keepNext/>
      <w:keepLines/>
      <w:spacing w:before="120"/>
      <w:outlineLvl w:val="2"/>
    </w:pPr>
    <w:rPr>
      <w:rFonts w:ascii="Cambria" w:eastAsia="MS Gothic" w:hAnsi="Cambria" w:cs="Times New Roman"/>
      <w:smallCaps/>
      <w:sz w:val="28"/>
      <w:szCs w:val="28"/>
    </w:rPr>
  </w:style>
  <w:style w:type="paragraph" w:styleId="Titre4">
    <w:name w:val="heading 4"/>
    <w:basedOn w:val="Standard"/>
    <w:next w:val="Standard"/>
    <w:uiPriority w:val="9"/>
    <w:semiHidden/>
    <w:unhideWhenUsed/>
    <w:qFormat/>
    <w:pPr>
      <w:keepNext/>
      <w:keepLines/>
      <w:spacing w:before="120"/>
      <w:outlineLvl w:val="3"/>
    </w:pPr>
    <w:rPr>
      <w:rFonts w:ascii="Cambria" w:eastAsia="MS Gothic" w:hAnsi="Cambria" w:cs="Times New Roman"/>
      <w:caps/>
    </w:rPr>
  </w:style>
  <w:style w:type="paragraph" w:styleId="Titre5">
    <w:name w:val="heading 5"/>
    <w:basedOn w:val="Standard"/>
    <w:next w:val="Standard"/>
    <w:uiPriority w:val="9"/>
    <w:semiHidden/>
    <w:unhideWhenUsed/>
    <w:qFormat/>
    <w:pPr>
      <w:keepNext/>
      <w:keepLines/>
      <w:spacing w:before="120"/>
      <w:outlineLvl w:val="4"/>
    </w:pPr>
    <w:rPr>
      <w:rFonts w:ascii="Cambria" w:eastAsia="MS Gothic" w:hAnsi="Cambria" w:cs="Times New Roman"/>
      <w:i/>
      <w:iCs/>
      <w:caps/>
    </w:rPr>
  </w:style>
  <w:style w:type="paragraph" w:styleId="Titre6">
    <w:name w:val="heading 6"/>
    <w:basedOn w:val="Standard"/>
    <w:next w:val="Standard"/>
    <w:uiPriority w:val="9"/>
    <w:semiHidden/>
    <w:unhideWhenUsed/>
    <w:qFormat/>
    <w:pPr>
      <w:keepNext/>
      <w:keepLines/>
      <w:spacing w:before="120"/>
      <w:outlineLvl w:val="5"/>
    </w:pPr>
    <w:rPr>
      <w:rFonts w:ascii="Cambria" w:eastAsia="MS Gothic" w:hAnsi="Cambria" w:cs="Times New Roman"/>
      <w:b/>
      <w:bCs/>
      <w:caps/>
      <w:color w:val="262626"/>
      <w:sz w:val="20"/>
      <w:szCs w:val="20"/>
    </w:rPr>
  </w:style>
  <w:style w:type="paragraph" w:styleId="Titre7">
    <w:name w:val="heading 7"/>
    <w:basedOn w:val="Standard"/>
    <w:next w:val="Standard"/>
    <w:pPr>
      <w:keepNext/>
      <w:keepLines/>
      <w:spacing w:before="120"/>
      <w:outlineLvl w:val="6"/>
    </w:pPr>
    <w:rPr>
      <w:rFonts w:ascii="Cambria" w:eastAsia="MS Gothic" w:hAnsi="Cambria" w:cs="Times New Roman"/>
      <w:b/>
      <w:bCs/>
      <w:i/>
      <w:iCs/>
      <w:caps/>
      <w:color w:val="262626"/>
      <w:sz w:val="20"/>
      <w:szCs w:val="20"/>
    </w:rPr>
  </w:style>
  <w:style w:type="paragraph" w:styleId="Titre8">
    <w:name w:val="heading 8"/>
    <w:basedOn w:val="Standard"/>
    <w:next w:val="Standard"/>
    <w:pPr>
      <w:keepNext/>
      <w:keepLines/>
      <w:spacing w:before="120"/>
      <w:outlineLvl w:val="7"/>
    </w:pPr>
    <w:rPr>
      <w:rFonts w:ascii="Cambria" w:eastAsia="MS Gothic" w:hAnsi="Cambria" w:cs="Times New Roman"/>
      <w:b/>
      <w:bCs/>
      <w:caps/>
      <w:color w:val="7F7F7F"/>
      <w:sz w:val="20"/>
      <w:szCs w:val="20"/>
    </w:rPr>
  </w:style>
  <w:style w:type="paragraph" w:styleId="Titre9">
    <w:name w:val="heading 9"/>
    <w:basedOn w:val="Standard"/>
    <w:next w:val="Standard"/>
    <w:pPr>
      <w:keepNext/>
      <w:keepLines/>
      <w:spacing w:before="120"/>
      <w:outlineLvl w:val="8"/>
    </w:pPr>
    <w:rPr>
      <w:rFonts w:ascii="Cambria" w:eastAsia="MS Gothic" w:hAnsi="Cambria" w:cs="Times New Roman"/>
      <w:b/>
      <w:bCs/>
      <w:i/>
      <w:iCs/>
      <w:caps/>
      <w:color w:val="7F7F7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rPr>
      <w:sz w:val="24"/>
    </w:rPr>
  </w:style>
  <w:style w:type="paragraph" w:styleId="Lgende">
    <w:name w:val="caption"/>
    <w:basedOn w:val="Standard"/>
    <w:next w:val="Standard"/>
    <w:rPr>
      <w:b/>
      <w:bCs/>
      <w:smallCaps/>
      <w:color w:val="595959"/>
    </w:rPr>
  </w:style>
  <w:style w:type="paragraph" w:customStyle="1" w:styleId="Index">
    <w:name w:val="Index"/>
    <w:basedOn w:val="Standard"/>
    <w:pPr>
      <w:suppressLineNumbers/>
    </w:pPr>
    <w:rPr>
      <w:sz w:val="24"/>
    </w:rPr>
  </w:style>
  <w:style w:type="paragraph" w:styleId="Titre">
    <w:name w:val="Title"/>
    <w:basedOn w:val="Standard"/>
    <w:next w:val="Standard"/>
    <w:uiPriority w:val="10"/>
    <w:qFormat/>
    <w:rPr>
      <w:rFonts w:ascii="Cambria" w:eastAsia="MS Gothic" w:hAnsi="Cambria" w:cs="Times New Roman"/>
      <w:caps/>
      <w:color w:val="404040"/>
      <w:spacing w:val="-10"/>
      <w:sz w:val="72"/>
      <w:szCs w:val="72"/>
    </w:rPr>
  </w:style>
  <w:style w:type="paragraph" w:styleId="Sous-titre">
    <w:name w:val="Subtitle"/>
    <w:basedOn w:val="Standard"/>
    <w:next w:val="Standard"/>
    <w:uiPriority w:val="11"/>
    <w:qFormat/>
    <w:rPr>
      <w:rFonts w:ascii="Cambria" w:eastAsia="MS Gothic" w:hAnsi="Cambria" w:cs="Times New Roman"/>
      <w:smallCaps/>
      <w:color w:val="595959"/>
      <w:sz w:val="28"/>
      <w:szCs w:val="28"/>
    </w:rPr>
  </w:style>
  <w:style w:type="paragraph" w:styleId="Sansinterligne">
    <w:name w:val="No Spacing"/>
    <w:pPr>
      <w:widowControl/>
    </w:pPr>
  </w:style>
  <w:style w:type="paragraph" w:styleId="Pardeliste">
    <w:name w:val="List Paragraph"/>
    <w:basedOn w:val="Standard"/>
    <w:pPr>
      <w:ind w:left="720"/>
    </w:pPr>
  </w:style>
  <w:style w:type="paragraph" w:styleId="Citation">
    <w:name w:val="Quote"/>
    <w:basedOn w:val="Standard"/>
    <w:next w:val="Standard"/>
    <w:pPr>
      <w:spacing w:before="160"/>
      <w:ind w:left="720" w:right="720"/>
    </w:pPr>
    <w:rPr>
      <w:rFonts w:ascii="Cambria" w:eastAsia="MS Gothic" w:hAnsi="Cambria" w:cs="Times New Roman"/>
      <w:sz w:val="25"/>
      <w:szCs w:val="25"/>
    </w:rPr>
  </w:style>
  <w:style w:type="paragraph" w:styleId="Citationintense">
    <w:name w:val="Intense Quote"/>
    <w:basedOn w:val="Standard"/>
    <w:next w:val="Standard"/>
    <w:pPr>
      <w:spacing w:before="280" w:after="280"/>
      <w:ind w:left="1080" w:right="1080"/>
      <w:jc w:val="center"/>
    </w:pPr>
    <w:rPr>
      <w:color w:val="404040"/>
      <w:sz w:val="32"/>
      <w:szCs w:val="32"/>
    </w:rPr>
  </w:style>
  <w:style w:type="paragraph" w:styleId="En-ttedetabledesmatires">
    <w:name w:val="TOC Heading"/>
    <w:basedOn w:val="Titre1"/>
    <w:next w:val="Standard"/>
  </w:style>
  <w:style w:type="paragraph" w:customStyle="1" w:styleId="Boldbodytext">
    <w:name w:val="Bold body text"/>
    <w:basedOn w:val="Standard"/>
    <w:pPr>
      <w:tabs>
        <w:tab w:val="left" w:pos="1543"/>
        <w:tab w:val="left" w:pos="3105"/>
        <w:tab w:val="left" w:pos="4089"/>
        <w:tab w:val="left" w:pos="6133"/>
      </w:tabs>
      <w:spacing w:line="288" w:lineRule="auto"/>
      <w:textAlignment w:val="center"/>
    </w:pPr>
    <w:rPr>
      <w:rFonts w:ascii="Arial" w:eastAsia="Times New Roman" w:hAnsi="Arial"/>
      <w:b/>
      <w:bCs/>
      <w:color w:val="000000"/>
    </w:rPr>
  </w:style>
  <w:style w:type="paragraph" w:styleId="Normalweb">
    <w:name w:val="Normal (Web)"/>
    <w:basedOn w:val="Standard"/>
    <w:pPr>
      <w:spacing w:before="280" w:after="280"/>
    </w:pPr>
    <w:rPr>
      <w:rFonts w:ascii="Times New Roman" w:eastAsia="Times New Roman" w:hAnsi="Times New Roman" w:cs="Times New Roman"/>
      <w:sz w:val="24"/>
      <w:szCs w:val="24"/>
    </w:rPr>
  </w:style>
  <w:style w:type="paragraph" w:styleId="En-tte">
    <w:name w:val="header"/>
    <w:basedOn w:val="Standard"/>
    <w:pPr>
      <w:tabs>
        <w:tab w:val="center" w:pos="4513"/>
        <w:tab w:val="right" w:pos="9026"/>
      </w:tabs>
    </w:pPr>
  </w:style>
  <w:style w:type="paragraph" w:styleId="Pieddepage">
    <w:name w:val="footer"/>
    <w:basedOn w:val="Standard"/>
    <w:pPr>
      <w:tabs>
        <w:tab w:val="center" w:pos="4513"/>
        <w:tab w:val="right" w:pos="9026"/>
      </w:tabs>
    </w:pPr>
  </w:style>
  <w:style w:type="paragraph" w:styleId="Commentaire">
    <w:name w:val="annotation text"/>
    <w:basedOn w:val="Standard"/>
    <w:rPr>
      <w:rFonts w:ascii="Arial" w:eastAsia="Times New Roman" w:hAnsi="Arial" w:cs="Times New Roman"/>
      <w:sz w:val="20"/>
      <w:szCs w:val="20"/>
    </w:rPr>
  </w:style>
  <w:style w:type="paragraph" w:styleId="Textedebulles">
    <w:name w:val="Balloon Text"/>
    <w:basedOn w:val="Standard"/>
    <w:rPr>
      <w:rFonts w:ascii="Segoe UI" w:eastAsia="Segoe UI" w:hAnsi="Segoe UI" w:cs="Segoe UI"/>
      <w:sz w:val="18"/>
      <w:szCs w:val="18"/>
    </w:rPr>
  </w:style>
  <w:style w:type="paragraph" w:customStyle="1" w:styleId="Address">
    <w:name w:val="Address"/>
    <w:basedOn w:val="Standard"/>
    <w:pPr>
      <w:tabs>
        <w:tab w:val="left" w:pos="2041"/>
        <w:tab w:val="left" w:pos="4082"/>
        <w:tab w:val="left" w:pos="6123"/>
      </w:tabs>
      <w:spacing w:after="100" w:line="200" w:lineRule="atLeast"/>
      <w:textAlignment w:val="center"/>
    </w:pPr>
    <w:rPr>
      <w:rFonts w:ascii="Arial" w:eastAsia="Times New Roman" w:hAnsi="Arial" w:cs="Helvetica 55 Roman"/>
      <w:b/>
      <w:bCs/>
      <w:color w:val="000000"/>
      <w:sz w:val="16"/>
      <w:szCs w:val="16"/>
    </w:rPr>
  </w:style>
  <w:style w:type="paragraph" w:customStyle="1" w:styleId="RegisteredAddress">
    <w:name w:val="Registered Address"/>
    <w:basedOn w:val="Standard"/>
    <w:pPr>
      <w:tabs>
        <w:tab w:val="left" w:pos="170"/>
      </w:tabs>
      <w:spacing w:after="80" w:line="175" w:lineRule="atLeast"/>
      <w:textAlignment w:val="center"/>
    </w:pPr>
    <w:rPr>
      <w:rFonts w:ascii="Arial" w:eastAsia="Times New Roman" w:hAnsi="Arial" w:cs="Helvetica 55 Roman"/>
      <w:color w:val="000000"/>
      <w:sz w:val="14"/>
      <w:szCs w:val="14"/>
    </w:rPr>
  </w:style>
  <w:style w:type="paragraph" w:styleId="Objetducommentaire">
    <w:name w:val="annotation subject"/>
    <w:basedOn w:val="Commentaire"/>
    <w:rPr>
      <w:rFonts w:ascii="Calibri" w:eastAsia="Calibri" w:hAnsi="Calibri" w:cs="Arial"/>
      <w:b/>
      <w:bCs/>
    </w:rPr>
  </w:style>
  <w:style w:type="paragraph" w:styleId="Rvision">
    <w:name w:val="Revision"/>
    <w:pPr>
      <w:widowControl/>
    </w:pPr>
  </w:style>
  <w:style w:type="paragraph" w:customStyle="1" w:styleId="Default">
    <w:name w:val="Default"/>
    <w:pPr>
      <w:widowControl/>
    </w:pPr>
    <w:rPr>
      <w:rFonts w:ascii="Arial" w:eastAsia="Arial" w:hAnsi="Arial"/>
      <w:color w:val="000000"/>
      <w:sz w:val="24"/>
      <w:szCs w:val="24"/>
    </w:rPr>
  </w:style>
  <w:style w:type="paragraph" w:customStyle="1" w:styleId="Endnote">
    <w:name w:val="Endnote"/>
    <w:basedOn w:val="Standard"/>
    <w:rPr>
      <w:sz w:val="20"/>
      <w:szCs w:val="20"/>
    </w:rPr>
  </w:style>
  <w:style w:type="paragraph" w:customStyle="1" w:styleId="EndNoteBibliography">
    <w:name w:val="EndNote Bibliography"/>
    <w:basedOn w:val="Standard"/>
    <w:pPr>
      <w:spacing w:after="160"/>
    </w:pPr>
    <w:rPr>
      <w:rFonts w:cs="Calibri"/>
    </w:rPr>
  </w:style>
  <w:style w:type="character" w:customStyle="1" w:styleId="Titre1Car">
    <w:name w:val="Titre 1 Car"/>
    <w:basedOn w:val="Policepardfaut"/>
    <w:rPr>
      <w:rFonts w:ascii="Cambria" w:eastAsia="MS Gothic" w:hAnsi="Cambria" w:cs="Times New Roman"/>
      <w:caps/>
      <w:sz w:val="36"/>
      <w:szCs w:val="36"/>
    </w:rPr>
  </w:style>
  <w:style w:type="character" w:customStyle="1" w:styleId="Titre2Car">
    <w:name w:val="Titre 2 Car"/>
    <w:basedOn w:val="Policepardfaut"/>
    <w:rPr>
      <w:rFonts w:ascii="Cambria" w:eastAsia="MS Gothic" w:hAnsi="Cambria" w:cs="Times New Roman"/>
      <w:caps/>
      <w:sz w:val="28"/>
      <w:szCs w:val="28"/>
    </w:rPr>
  </w:style>
  <w:style w:type="character" w:customStyle="1" w:styleId="Titre3Car">
    <w:name w:val="Titre 3 Car"/>
    <w:basedOn w:val="Policepardfaut"/>
    <w:rPr>
      <w:rFonts w:ascii="Cambria" w:eastAsia="MS Gothic" w:hAnsi="Cambria" w:cs="Times New Roman"/>
      <w:smallCaps/>
      <w:sz w:val="28"/>
      <w:szCs w:val="28"/>
    </w:rPr>
  </w:style>
  <w:style w:type="character" w:customStyle="1" w:styleId="Titre4Car">
    <w:name w:val="Titre 4 Car"/>
    <w:basedOn w:val="Policepardfaut"/>
    <w:rPr>
      <w:rFonts w:ascii="Cambria" w:eastAsia="MS Gothic" w:hAnsi="Cambria" w:cs="Times New Roman"/>
      <w:caps/>
    </w:rPr>
  </w:style>
  <w:style w:type="character" w:customStyle="1" w:styleId="Titre5Car">
    <w:name w:val="Titre 5 Car"/>
    <w:basedOn w:val="Policepardfaut"/>
    <w:rPr>
      <w:rFonts w:ascii="Cambria" w:eastAsia="MS Gothic" w:hAnsi="Cambria" w:cs="Times New Roman"/>
      <w:i/>
      <w:iCs/>
      <w:caps/>
    </w:rPr>
  </w:style>
  <w:style w:type="character" w:customStyle="1" w:styleId="Titre6Car">
    <w:name w:val="Titre 6 Car"/>
    <w:basedOn w:val="Policepardfaut"/>
    <w:rPr>
      <w:rFonts w:ascii="Cambria" w:eastAsia="MS Gothic" w:hAnsi="Cambria" w:cs="Times New Roman"/>
      <w:b/>
      <w:bCs/>
      <w:caps/>
      <w:color w:val="262626"/>
      <w:sz w:val="20"/>
      <w:szCs w:val="20"/>
    </w:rPr>
  </w:style>
  <w:style w:type="character" w:customStyle="1" w:styleId="Titre7Car">
    <w:name w:val="Titre 7 Car"/>
    <w:basedOn w:val="Policepardfaut"/>
    <w:rPr>
      <w:rFonts w:ascii="Cambria" w:eastAsia="MS Gothic" w:hAnsi="Cambria" w:cs="Times New Roman"/>
      <w:b/>
      <w:bCs/>
      <w:i/>
      <w:iCs/>
      <w:caps/>
      <w:color w:val="262626"/>
      <w:sz w:val="20"/>
      <w:szCs w:val="20"/>
    </w:rPr>
  </w:style>
  <w:style w:type="character" w:customStyle="1" w:styleId="Titre8Car">
    <w:name w:val="Titre 8 Car"/>
    <w:basedOn w:val="Policepardfaut"/>
    <w:rPr>
      <w:rFonts w:ascii="Cambria" w:eastAsia="MS Gothic" w:hAnsi="Cambria" w:cs="Times New Roman"/>
      <w:b/>
      <w:bCs/>
      <w:caps/>
      <w:color w:val="7F7F7F"/>
      <w:sz w:val="20"/>
      <w:szCs w:val="20"/>
    </w:rPr>
  </w:style>
  <w:style w:type="character" w:customStyle="1" w:styleId="Titre9Car">
    <w:name w:val="Titre 9 Car"/>
    <w:basedOn w:val="Policepardfaut"/>
    <w:rPr>
      <w:rFonts w:ascii="Cambria" w:eastAsia="MS Gothic" w:hAnsi="Cambria" w:cs="Times New Roman"/>
      <w:b/>
      <w:bCs/>
      <w:i/>
      <w:iCs/>
      <w:caps/>
      <w:color w:val="7F7F7F"/>
      <w:sz w:val="20"/>
      <w:szCs w:val="20"/>
    </w:rPr>
  </w:style>
  <w:style w:type="character" w:customStyle="1" w:styleId="TitreCar">
    <w:name w:val="Titre Car"/>
    <w:basedOn w:val="Policepardfaut"/>
    <w:rPr>
      <w:rFonts w:ascii="Cambria" w:eastAsia="MS Gothic" w:hAnsi="Cambria" w:cs="Times New Roman"/>
      <w:caps/>
      <w:color w:val="404040"/>
      <w:spacing w:val="-10"/>
      <w:sz w:val="72"/>
      <w:szCs w:val="72"/>
    </w:rPr>
  </w:style>
  <w:style w:type="character" w:customStyle="1" w:styleId="Sous-titreCar">
    <w:name w:val="Sous-titre Car"/>
    <w:basedOn w:val="Policepardfaut"/>
    <w:rPr>
      <w:rFonts w:ascii="Cambria" w:eastAsia="MS Gothic" w:hAnsi="Cambria" w:cs="Times New Roman"/>
      <w:smallCaps/>
      <w:color w:val="595959"/>
      <w:sz w:val="28"/>
      <w:szCs w:val="28"/>
    </w:rPr>
  </w:style>
  <w:style w:type="character" w:styleId="lev">
    <w:name w:val="Strong"/>
    <w:basedOn w:val="Policepardfaut"/>
    <w:rPr>
      <w:b/>
      <w:bCs/>
    </w:rPr>
  </w:style>
  <w:style w:type="character" w:styleId="Emphase">
    <w:name w:val="Emphasis"/>
    <w:basedOn w:val="Policepardfaut"/>
    <w:uiPriority w:val="20"/>
    <w:qFormat/>
    <w:rPr>
      <w:i/>
      <w:iCs/>
    </w:rPr>
  </w:style>
  <w:style w:type="character" w:customStyle="1" w:styleId="CitationCar">
    <w:name w:val="Citation Car"/>
    <w:basedOn w:val="Policepardfaut"/>
    <w:rPr>
      <w:rFonts w:ascii="Cambria" w:eastAsia="MS Gothic" w:hAnsi="Cambria" w:cs="Times New Roman"/>
      <w:sz w:val="25"/>
      <w:szCs w:val="25"/>
    </w:rPr>
  </w:style>
  <w:style w:type="character" w:customStyle="1" w:styleId="CitationintenseCar">
    <w:name w:val="Citation intense Car"/>
    <w:basedOn w:val="Policepardfaut"/>
    <w:rPr>
      <w:color w:val="404040"/>
      <w:sz w:val="32"/>
      <w:szCs w:val="32"/>
    </w:rPr>
  </w:style>
  <w:style w:type="character" w:styleId="Emphaseple">
    <w:name w:val="Subtle Emphasis"/>
    <w:basedOn w:val="Policepardfaut"/>
    <w:rPr>
      <w:i/>
      <w:iCs/>
      <w:color w:val="595959"/>
    </w:rPr>
  </w:style>
  <w:style w:type="character" w:styleId="Emphaseintense">
    <w:name w:val="Intense Emphasis"/>
    <w:basedOn w:val="Policepardfaut"/>
    <w:rPr>
      <w:b/>
      <w:bCs/>
      <w:i/>
      <w:iCs/>
    </w:rPr>
  </w:style>
  <w:style w:type="character" w:styleId="Rfrenceple">
    <w:name w:val="Subtle Reference"/>
    <w:basedOn w:val="Policepardfaut"/>
    <w:rPr>
      <w:smallCaps/>
      <w:color w:val="404040"/>
      <w:u w:val="single" w:color="7F7F7F"/>
    </w:rPr>
  </w:style>
  <w:style w:type="character" w:styleId="Rfrenceintense">
    <w:name w:val="Intense Reference"/>
    <w:basedOn w:val="Policepardfaut"/>
    <w:rPr>
      <w:b/>
      <w:bCs/>
      <w:smallCaps/>
      <w:color w:val="auto"/>
      <w:spacing w:val="3"/>
      <w:u w:val="single"/>
    </w:rPr>
  </w:style>
  <w:style w:type="character" w:styleId="Titredelivre">
    <w:name w:val="Book Title"/>
    <w:basedOn w:val="Policepardfaut"/>
    <w:rPr>
      <w:b/>
      <w:bCs/>
      <w:smallCaps/>
      <w:spacing w:val="7"/>
    </w:rPr>
  </w:style>
  <w:style w:type="character" w:customStyle="1" w:styleId="En-tteCar">
    <w:name w:val="En-tête Car"/>
    <w:basedOn w:val="Policepardfaut"/>
  </w:style>
  <w:style w:type="character" w:customStyle="1" w:styleId="PieddepageCar">
    <w:name w:val="Pied de page Car"/>
    <w:basedOn w:val="Policepardfaut"/>
  </w:style>
  <w:style w:type="character" w:styleId="Marquedecommentaire">
    <w:name w:val="annotation reference"/>
    <w:basedOn w:val="Policepardfaut"/>
    <w:rPr>
      <w:sz w:val="16"/>
      <w:szCs w:val="16"/>
    </w:rPr>
  </w:style>
  <w:style w:type="character" w:customStyle="1" w:styleId="CommentaireCar">
    <w:name w:val="Commentaire Car"/>
    <w:basedOn w:val="Policepardfaut"/>
    <w:rPr>
      <w:rFonts w:ascii="Arial" w:eastAsia="Times New Roman" w:hAnsi="Arial" w:cs="Times New Roman"/>
      <w:sz w:val="20"/>
      <w:szCs w:val="20"/>
    </w:r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bf">
    <w:name w:val="bf"/>
    <w:basedOn w:val="Policepardfaut"/>
  </w:style>
  <w:style w:type="character" w:customStyle="1" w:styleId="SansinterligneCar">
    <w:name w:val="Sans interligne Car"/>
    <w:basedOn w:val="Policepardfaut"/>
  </w:style>
  <w:style w:type="character" w:customStyle="1" w:styleId="Internetlink">
    <w:name w:val="Internet link"/>
    <w:basedOn w:val="Policepardfaut"/>
    <w:rPr>
      <w:color w:val="0000FF"/>
      <w:u w:val="single"/>
    </w:rPr>
  </w:style>
  <w:style w:type="character" w:customStyle="1" w:styleId="UnresolvedMention">
    <w:name w:val="Unresolved Mention"/>
    <w:basedOn w:val="Policepardfaut"/>
    <w:rPr>
      <w:color w:val="605E5C"/>
      <w:shd w:val="clear" w:color="auto" w:fill="E1DFDD"/>
    </w:rPr>
  </w:style>
  <w:style w:type="character" w:customStyle="1" w:styleId="ObjetducommentaireCar">
    <w:name w:val="Objet du commentaire Car"/>
    <w:basedOn w:val="CommentaireCar"/>
    <w:rPr>
      <w:rFonts w:ascii="Arial" w:eastAsia="Times New Roman" w:hAnsi="Arial" w:cs="Times New Roman"/>
      <w:b/>
      <w:bCs/>
      <w:sz w:val="20"/>
      <w:szCs w:val="20"/>
    </w:rPr>
  </w:style>
  <w:style w:type="character" w:styleId="Lienhypertextevisit">
    <w:name w:val="FollowedHyperlink"/>
    <w:basedOn w:val="Policepardfaut"/>
    <w:rPr>
      <w:color w:val="800080"/>
      <w:u w:val="single"/>
    </w:rPr>
  </w:style>
  <w:style w:type="character" w:customStyle="1" w:styleId="NotedefinCar">
    <w:name w:val="Note de fin Car"/>
    <w:basedOn w:val="Policepardfaut"/>
    <w:rPr>
      <w:sz w:val="20"/>
      <w:szCs w:val="20"/>
    </w:rPr>
  </w:style>
  <w:style w:type="character" w:customStyle="1" w:styleId="Endnoteanchor">
    <w:name w:val="Endnote anchor"/>
    <w:rPr>
      <w:position w:val="0"/>
      <w:vertAlign w:val="superscript"/>
    </w:rPr>
  </w:style>
  <w:style w:type="character" w:customStyle="1" w:styleId="EndnoteCharacters">
    <w:name w:val="Endnote Characters"/>
    <w:basedOn w:val="Policepardfaut"/>
    <w:rPr>
      <w:position w:val="0"/>
      <w:vertAlign w:val="superscript"/>
    </w:rPr>
  </w:style>
  <w:style w:type="character" w:customStyle="1" w:styleId="highwire-citation-authors">
    <w:name w:val="highwire-citation-authors"/>
    <w:basedOn w:val="Policepardfaut"/>
  </w:style>
  <w:style w:type="character" w:customStyle="1" w:styleId="highwire-citation-author">
    <w:name w:val="highwire-citation-author"/>
    <w:basedOn w:val="Policepardfaut"/>
  </w:style>
  <w:style w:type="character" w:customStyle="1" w:styleId="nlm-given-names">
    <w:name w:val="nlm-given-names"/>
    <w:basedOn w:val="Policepardfaut"/>
  </w:style>
  <w:style w:type="character" w:customStyle="1" w:styleId="nlm-surname">
    <w:name w:val="nlm-surname"/>
    <w:basedOn w:val="Policepardfaut"/>
  </w:style>
  <w:style w:type="character" w:customStyle="1" w:styleId="Title1">
    <w:name w:val="Title1"/>
    <w:basedOn w:val="Policepardfaut"/>
  </w:style>
  <w:style w:type="character" w:customStyle="1" w:styleId="nlm-suffix">
    <w:name w:val="nlm-suffix"/>
    <w:basedOn w:val="Policepardfaut"/>
  </w:style>
  <w:style w:type="character" w:customStyle="1" w:styleId="highwire-cite-metadata-doi">
    <w:name w:val="highwire-cite-metadata-doi"/>
    <w:basedOn w:val="Policepardfaut"/>
  </w:style>
  <w:style w:type="character" w:customStyle="1" w:styleId="label">
    <w:name w:val="label"/>
    <w:basedOn w:val="Policepardfaut"/>
  </w:style>
  <w:style w:type="character" w:customStyle="1" w:styleId="EndNoteBibliographyChar">
    <w:name w:val="EndNote Bibliography Char"/>
    <w:basedOn w:val="Policepardfaut"/>
    <w:rPr>
      <w:rFonts w:ascii="Calibri" w:eastAsia="Calibri" w:hAnsi="Calibri" w:cs="Calibri"/>
    </w:rPr>
  </w:style>
  <w:style w:type="character" w:customStyle="1" w:styleId="doi">
    <w:name w:val="doi"/>
    <w:basedOn w:val="Policepardfaut"/>
  </w:style>
  <w:style w:type="character" w:customStyle="1" w:styleId="ParagraphedelisteCar">
    <w:name w:val="Paragraphe de liste Car"/>
    <w:basedOn w:val="Policepardfaut"/>
  </w:style>
  <w:style w:type="character" w:styleId="Mentionner">
    <w:name w:val="Mention"/>
    <w:basedOn w:val="Policepardfaut"/>
    <w:rPr>
      <w:color w:val="2B579A"/>
      <w:shd w:val="clear" w:color="auto" w:fill="E1DFDD"/>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Times New Roman" w:cs="Arial"/>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Helvetica"/>
      <w:color w:val="3C4242"/>
      <w:sz w:val="24"/>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color w:val="00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color w:val="auto"/>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color w:val="auto"/>
      <w:sz w:val="20"/>
      <w:szCs w:val="20"/>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ascii="Arial" w:eastAsia="TimesNewRoman" w:hAnsi="Arial" w:cs="Arial"/>
      <w:sz w:val="22"/>
      <w:szCs w:val="22"/>
      <w:lang w:val="fr-MA"/>
    </w:rPr>
  </w:style>
  <w:style w:type="character" w:customStyle="1" w:styleId="ListLabel31">
    <w:name w:val="ListLabel 31"/>
    <w:rPr>
      <w:rFonts w:ascii="Arial" w:eastAsia="Arial" w:hAnsi="Arial" w:cs="Arial"/>
      <w:sz w:val="22"/>
      <w:szCs w:val="22"/>
      <w:lang w:val="fr-MA"/>
    </w:rPr>
  </w:style>
  <w:style w:type="character" w:customStyle="1" w:styleId="ListLabel32">
    <w:name w:val="ListLabel 32"/>
    <w:rPr>
      <w:rFonts w:ascii="Arial" w:eastAsia="Arial" w:hAnsi="Arial" w:cs="Arial"/>
      <w:bCs/>
      <w:lang w:val="fr-MA"/>
    </w:rPr>
  </w:style>
  <w:style w:type="character" w:customStyle="1" w:styleId="ListLabel33">
    <w:name w:val="ListLabel 33"/>
    <w:rPr>
      <w:rFonts w:ascii="Arial" w:eastAsia="Arial" w:hAnsi="Arial" w:cs="Arial"/>
      <w:lang w:val="fr-MA"/>
    </w:rPr>
  </w:style>
  <w:style w:type="character" w:customStyle="1" w:styleId="ListLabel34">
    <w:name w:val="ListLabel 34"/>
    <w:rPr>
      <w:rFonts w:ascii="Arial" w:eastAsia="Arial" w:hAnsi="Arial" w:cs="Arial"/>
    </w:rPr>
  </w:style>
  <w:style w:type="character" w:customStyle="1" w:styleId="ListLabel35">
    <w:name w:val="ListLabel 35"/>
    <w:rPr>
      <w:rFonts w:ascii="Arial" w:eastAsia="Times New Roman" w:hAnsi="Arial" w:cs="Arial"/>
      <w:spacing w:val="5"/>
      <w:sz w:val="20"/>
      <w:szCs w:val="20"/>
      <w:lang w:val="fr-MA"/>
    </w:rPr>
  </w:style>
  <w:style w:type="character" w:customStyle="1" w:styleId="ListLabel36">
    <w:name w:val="ListLabel 36"/>
    <w:rPr>
      <w:rFonts w:ascii="Arial" w:eastAsia="Arial" w:hAnsi="Arial" w:cs="Arial"/>
      <w:sz w:val="20"/>
      <w:szCs w:val="20"/>
      <w:lang w:val="fr-MA"/>
    </w:rPr>
  </w:style>
  <w:style w:type="numbering" w:customStyle="1" w:styleId="NoList1">
    <w:name w:val="No List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 w:type="numbering" w:customStyle="1" w:styleId="WWNum10">
    <w:name w:val="WWNum10"/>
    <w:basedOn w:val="Aucuneliste"/>
    <w:pPr>
      <w:numPr>
        <w:numId w:val="11"/>
      </w:numPr>
    </w:pPr>
  </w:style>
  <w:style w:type="numbering" w:customStyle="1" w:styleId="WWNum11">
    <w:name w:val="WWNum11"/>
    <w:basedOn w:val="Aucuneliste"/>
    <w:pPr>
      <w:numPr>
        <w:numId w:val="12"/>
      </w:numPr>
    </w:pPr>
  </w:style>
  <w:style w:type="numbering" w:customStyle="1" w:styleId="WWNum12">
    <w:name w:val="WWNum12"/>
    <w:basedOn w:val="Aucuneliste"/>
    <w:pPr>
      <w:numPr>
        <w:numId w:val="13"/>
      </w:numPr>
    </w:pPr>
  </w:style>
  <w:style w:type="numbering" w:customStyle="1" w:styleId="WWNum13">
    <w:name w:val="WWNum13"/>
    <w:basedOn w:val="Aucuneliste"/>
    <w:pPr>
      <w:numPr>
        <w:numId w:val="14"/>
      </w:numPr>
    </w:pPr>
  </w:style>
  <w:style w:type="numbering" w:customStyle="1" w:styleId="WWNum14">
    <w:name w:val="WWNum14"/>
    <w:basedOn w:val="Aucuneliste"/>
    <w:pPr>
      <w:numPr>
        <w:numId w:val="15"/>
      </w:numPr>
    </w:pPr>
  </w:style>
  <w:style w:type="numbering" w:customStyle="1" w:styleId="WWNum15">
    <w:name w:val="WWNum15"/>
    <w:basedOn w:val="Aucuneliste"/>
    <w:pPr>
      <w:numPr>
        <w:numId w:val="16"/>
      </w:numPr>
    </w:pPr>
  </w:style>
  <w:style w:type="numbering" w:customStyle="1" w:styleId="WWNum16">
    <w:name w:val="WWNum16"/>
    <w:basedOn w:val="Aucuneliste"/>
    <w:pPr>
      <w:numPr>
        <w:numId w:val="17"/>
      </w:numPr>
    </w:pPr>
  </w:style>
  <w:style w:type="numbering" w:customStyle="1" w:styleId="WWNum17">
    <w:name w:val="WWNum17"/>
    <w:basedOn w:val="Aucuneliste"/>
    <w:pPr>
      <w:numPr>
        <w:numId w:val="18"/>
      </w:numPr>
    </w:pPr>
  </w:style>
  <w:style w:type="numbering" w:customStyle="1" w:styleId="WWNum18">
    <w:name w:val="WWNum18"/>
    <w:basedOn w:val="Aucuneliste"/>
    <w:pPr>
      <w:numPr>
        <w:numId w:val="19"/>
      </w:numPr>
    </w:pPr>
  </w:style>
  <w:style w:type="numbering" w:customStyle="1" w:styleId="WWNum19">
    <w:name w:val="WWNum19"/>
    <w:basedOn w:val="Aucuneliste"/>
    <w:pPr>
      <w:numPr>
        <w:numId w:val="20"/>
      </w:numPr>
    </w:pPr>
  </w:style>
  <w:style w:type="numbering" w:customStyle="1" w:styleId="WWNum20">
    <w:name w:val="WWNum20"/>
    <w:basedOn w:val="Aucuneliste"/>
    <w:pPr>
      <w:numPr>
        <w:numId w:val="21"/>
      </w:numPr>
    </w:pPr>
  </w:style>
  <w:style w:type="numbering" w:customStyle="1" w:styleId="WWNum21">
    <w:name w:val="WWNum21"/>
    <w:basedOn w:val="Aucuneliste"/>
    <w:pPr>
      <w:numPr>
        <w:numId w:val="22"/>
      </w:numPr>
    </w:pPr>
  </w:style>
  <w:style w:type="numbering" w:customStyle="1" w:styleId="WWNum22">
    <w:name w:val="WWNum22"/>
    <w:basedOn w:val="Aucuneliste"/>
    <w:pPr>
      <w:numPr>
        <w:numId w:val="23"/>
      </w:numPr>
    </w:pPr>
  </w:style>
  <w:style w:type="numbering" w:customStyle="1" w:styleId="WWNum23">
    <w:name w:val="WWNum23"/>
    <w:basedOn w:val="Aucuneliste"/>
    <w:pPr>
      <w:numPr>
        <w:numId w:val="24"/>
      </w:numPr>
    </w:pPr>
  </w:style>
  <w:style w:type="numbering" w:customStyle="1" w:styleId="WWNum24">
    <w:name w:val="WWNum24"/>
    <w:basedOn w:val="Aucuneliste"/>
    <w:pPr>
      <w:numPr>
        <w:numId w:val="25"/>
      </w:numPr>
    </w:pPr>
  </w:style>
  <w:style w:type="paragraph" w:styleId="Notedebasdepage">
    <w:name w:val="footnote text"/>
    <w:basedOn w:val="Normal"/>
    <w:link w:val="NotedebasdepageCar"/>
    <w:uiPriority w:val="99"/>
    <w:semiHidden/>
    <w:unhideWhenUsed/>
    <w:rsid w:val="00B6115E"/>
    <w:rPr>
      <w:sz w:val="20"/>
      <w:szCs w:val="20"/>
    </w:rPr>
  </w:style>
  <w:style w:type="character" w:customStyle="1" w:styleId="NotedebasdepageCar">
    <w:name w:val="Note de bas de page Car"/>
    <w:basedOn w:val="Policepardfaut"/>
    <w:link w:val="Notedebasdepage"/>
    <w:uiPriority w:val="99"/>
    <w:semiHidden/>
    <w:rsid w:val="00B6115E"/>
    <w:rPr>
      <w:sz w:val="20"/>
      <w:szCs w:val="20"/>
    </w:rPr>
  </w:style>
  <w:style w:type="character" w:styleId="Appelnotedebasdep">
    <w:name w:val="footnote reference"/>
    <w:basedOn w:val="Policepardfaut"/>
    <w:uiPriority w:val="99"/>
    <w:semiHidden/>
    <w:unhideWhenUsed/>
    <w:rsid w:val="00B61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0489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www.cdc.gov/vaccines/acip/meetings/downloads/slides-2021-07/07-COVID-Oliver-508.pdf" TargetMode="External"/><Relationship Id="rId21" Type="http://schemas.openxmlformats.org/officeDocument/2006/relationships/hyperlink" Target="https://www.cdc.gov/vaccines/hcp/acip-recs/general-recs/immunocompetence.html" TargetMode="External"/><Relationship Id="rId22" Type="http://schemas.openxmlformats.org/officeDocument/2006/relationships/hyperlink" Target="https://opendata.ncats.nih.gov/variant/activity" TargetMode="External"/><Relationship Id="rId23" Type="http://schemas.openxmlformats.org/officeDocument/2006/relationships/hyperlink" Target="https://twitter.com/jbloom_lab/status/1464005705891868702/photo/1" TargetMode="External"/><Relationship Id="rId24" Type="http://schemas.openxmlformats.org/officeDocument/2006/relationships/hyperlink" Target="https://www.astrazeneca.com/media-centre/press-releases/2021/new-analyses-of-two-azd7442-covid-19-phase-iii-trials-in-high-risk-populations-confirm-robust-efficacy-and-long-term-prevention.html"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2.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www.astrazeneca.com/media-centre/articles/2020/advancing-our-discovery-of-novel-coronavirus-neutralising-antibodies-against-covid-19.html" TargetMode="External"/><Relationship Id="rId12" Type="http://schemas.openxmlformats.org/officeDocument/2006/relationships/hyperlink" Target="https://www.astrazeneca.com/media-centre/press-releases/2021/azd7442-prophylaxis-trial-met-primary-endpoint.html" TargetMode="External"/><Relationship Id="rId13" Type="http://schemas.openxmlformats.org/officeDocument/2006/relationships/hyperlink" Target="https://www.astrazeneca.com/media-centre/press-releases/2021/new-analyses-of-two-azd7442-covid-19-phase-iii-trials-in-high-risk-populations-confirm-robust-efficacy-and-long-term-prevention.html" TargetMode="External"/><Relationship Id="rId14" Type="http://schemas.openxmlformats.org/officeDocument/2006/relationships/hyperlink" Target="https://www.astrazeneca.com/media-centre/press-releases/2021/azd7442-phiii-trial-positive-in-covid-outpatients.html" TargetMode="External"/><Relationship Id="rId15" Type="http://schemas.openxmlformats.org/officeDocument/2006/relationships/hyperlink" Target="https://clinicaltrials.gov/ct2/show/NCT04501978" TargetMode="External"/><Relationship Id="rId16" Type="http://schemas.openxmlformats.org/officeDocument/2006/relationships/hyperlink" Target="https://www.astrazeneca.com/" TargetMode="External"/><Relationship Id="rId17" Type="http://schemas.openxmlformats.org/officeDocument/2006/relationships/hyperlink" Target="https://twitter.com/AstraZeneca?ref_src=twsrc%5egoogle|twcamp%5eserp|twgr%5eauthor" TargetMode="External"/><Relationship Id="rId18" Type="http://schemas.openxmlformats.org/officeDocument/2006/relationships/hyperlink" Target="https://www.astrazeneca.com/investor-relations.html" TargetMode="External"/><Relationship Id="rId19" Type="http://schemas.openxmlformats.org/officeDocument/2006/relationships/hyperlink" Target="https://www.astrazeneca.com/media-centre/contacts.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D23D59F23B546B333C21ED39ECCB3" ma:contentTypeVersion="12" ma:contentTypeDescription="Create a new document." ma:contentTypeScope="" ma:versionID="7b42b64a1f0b1cd7eacd0e355e1a320b">
  <xsd:schema xmlns:xsd="http://www.w3.org/2001/XMLSchema" xmlns:xs="http://www.w3.org/2001/XMLSchema" xmlns:p="http://schemas.microsoft.com/office/2006/metadata/properties" xmlns:ns2="7fdae08c-8107-424d-95f7-eafe4d8be891" xmlns:ns3="e70d710a-0f3b-403f-b1d5-828ea1f4af88" targetNamespace="http://schemas.microsoft.com/office/2006/metadata/properties" ma:root="true" ma:fieldsID="4c4c3615b6e3fe8769c7058981196e9a" ns2:_="" ns3:_="">
    <xsd:import namespace="7fdae08c-8107-424d-95f7-eafe4d8be891"/>
    <xsd:import namespace="e70d710a-0f3b-403f-b1d5-828ea1f4a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ae08c-8107-424d-95f7-eafe4d8be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0d710a-0f3b-403f-b1d5-828ea1f4af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08A5-ECEA-4459-B337-BE3E5358F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ae08c-8107-424d-95f7-eafe4d8be891"/>
    <ds:schemaRef ds:uri="e70d710a-0f3b-403f-b1d5-828ea1f4a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7433A-8975-4BD2-8DBC-69B6418262C1}">
  <ds:schemaRefs>
    <ds:schemaRef ds:uri="http://schemas.microsoft.com/sharepoint/v3/contenttype/forms"/>
  </ds:schemaRefs>
</ds:datastoreItem>
</file>

<file path=customXml/itemProps3.xml><?xml version="1.0" encoding="utf-8"?>
<ds:datastoreItem xmlns:ds="http://schemas.openxmlformats.org/officeDocument/2006/customXml" ds:itemID="{6843A98D-B992-43AD-986C-8D16E2C8FE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DD9B2F-5741-4047-802F-8C9451AF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2377</Words>
  <Characters>13076</Characters>
  <Application>Microsoft Macintosh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Kohl Raymor</dc:creator>
  <cp:lastModifiedBy>Utilisateur de Microsoft Office</cp:lastModifiedBy>
  <cp:revision>6</cp:revision>
  <cp:lastPrinted>2021-12-06T09:30:00Z</cp:lastPrinted>
  <dcterms:created xsi:type="dcterms:W3CDTF">2021-12-07T12:20:00Z</dcterms:created>
  <dcterms:modified xsi:type="dcterms:W3CDTF">2021-12-09T15:26:00Z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0x010100555D23D59F23B546B333C21ED39ECCB3</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