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0697" w:rsidRDefault="00C30697">
      <w:pPr>
        <w:pStyle w:val="Standard"/>
      </w:pPr>
    </w:p>
    <w:p w:rsidR="007A576A" w:rsidRDefault="007A576A">
      <w:pPr>
        <w:pStyle w:val="Standard"/>
      </w:pPr>
      <w:r>
        <w:t xml:space="preserve">Communiqué de presse </w:t>
      </w:r>
    </w:p>
    <w:p w:rsidR="007A576A" w:rsidRDefault="007A576A">
      <w:pPr>
        <w:pStyle w:val="Standard"/>
        <w:rPr>
          <w:rFonts w:hint="eastAsia"/>
        </w:rPr>
      </w:pPr>
    </w:p>
    <w:p w:rsidR="00C30697" w:rsidRDefault="00AC1185">
      <w:pPr>
        <w:pStyle w:val="Standard"/>
        <w:rPr>
          <w:rFonts w:hint="eastAsia"/>
        </w:rPr>
      </w:pPr>
      <w:r>
        <w:rPr>
          <w:rStyle w:val="StrongEmphasis"/>
          <w:sz w:val="44"/>
          <w:szCs w:val="44"/>
        </w:rPr>
        <w:t>Le Groupe Ineos Cyberforce annonce plusieurs nouvelles solutions destinées à renforcer la cybersécurité des entreprises au Maroc</w:t>
      </w:r>
    </w:p>
    <w:p w:rsidR="00C30697" w:rsidRDefault="00C30697">
      <w:pPr>
        <w:pStyle w:val="Standard"/>
        <w:rPr>
          <w:rFonts w:hint="eastAsia"/>
        </w:rPr>
      </w:pPr>
    </w:p>
    <w:p w:rsidR="00746567" w:rsidRDefault="007A576A" w:rsidP="00336604">
      <w:pPr>
        <w:pStyle w:val="Standard"/>
        <w:spacing w:line="276" w:lineRule="auto"/>
        <w:rPr>
          <w:rStyle w:val="StrongEmphasis"/>
          <w:rFonts w:hint="eastAsia"/>
          <w:b w:val="0"/>
          <w:sz w:val="28"/>
          <w:szCs w:val="28"/>
        </w:rPr>
      </w:pPr>
      <w:r w:rsidRPr="007A576A">
        <w:rPr>
          <w:rStyle w:val="StrongEmphasis"/>
          <w:sz w:val="28"/>
          <w:szCs w:val="28"/>
        </w:rPr>
        <w:t>Casablanca le 26 Octobre 2021</w:t>
      </w:r>
      <w:r>
        <w:rPr>
          <w:rStyle w:val="StrongEmphasis"/>
          <w:b w:val="0"/>
          <w:bCs w:val="0"/>
          <w:sz w:val="28"/>
          <w:szCs w:val="28"/>
        </w:rPr>
        <w:t xml:space="preserve">, </w:t>
      </w:r>
      <w:r w:rsidR="00AC1185">
        <w:rPr>
          <w:rStyle w:val="StrongEmphasis"/>
          <w:b w:val="0"/>
          <w:bCs w:val="0"/>
          <w:sz w:val="28"/>
          <w:szCs w:val="28"/>
        </w:rPr>
        <w:t>A l’heure de la digitalisation massive des entreprises, le Groupe Ineos Cyberforce,</w:t>
      </w:r>
      <w:r w:rsidR="00AC1185">
        <w:rPr>
          <w:rStyle w:val="StrongEmphasis"/>
          <w:sz w:val="28"/>
          <w:szCs w:val="28"/>
        </w:rPr>
        <w:t xml:space="preserve"> </w:t>
      </w:r>
      <w:r w:rsidR="00AC1185">
        <w:rPr>
          <w:rStyle w:val="StrongEmphasis"/>
          <w:b w:val="0"/>
          <w:sz w:val="28"/>
          <w:szCs w:val="28"/>
        </w:rPr>
        <w:t>acteur majeur en matière de conseil et d’intégration de solutions Réseau, Cloud et Sécurité au Mar</w:t>
      </w:r>
      <w:bookmarkStart w:id="0" w:name="_GoBack"/>
      <w:bookmarkEnd w:id="0"/>
      <w:r w:rsidR="00AC1185">
        <w:rPr>
          <w:rStyle w:val="StrongEmphasis"/>
          <w:b w:val="0"/>
          <w:sz w:val="28"/>
          <w:szCs w:val="28"/>
        </w:rPr>
        <w:t xml:space="preserve">oc et en </w:t>
      </w:r>
      <w:r w:rsidR="00AC1185" w:rsidRPr="00746567">
        <w:rPr>
          <w:rStyle w:val="StrongEmphasis"/>
          <w:b w:val="0"/>
          <w:sz w:val="28"/>
          <w:szCs w:val="28"/>
        </w:rPr>
        <w:t>Afrique</w:t>
      </w:r>
      <w:r w:rsidR="00AA3930" w:rsidRPr="00746567">
        <w:rPr>
          <w:rStyle w:val="StrongEmphasis"/>
          <w:b w:val="0"/>
          <w:sz w:val="28"/>
          <w:szCs w:val="28"/>
        </w:rPr>
        <w:t xml:space="preserve"> de l’Ouest</w:t>
      </w:r>
      <w:r w:rsidR="00746567">
        <w:rPr>
          <w:rStyle w:val="StrongEmphasis"/>
          <w:b w:val="0"/>
          <w:sz w:val="28"/>
          <w:szCs w:val="28"/>
        </w:rPr>
        <w:t xml:space="preserve">, </w:t>
      </w:r>
      <w:r w:rsidR="00292CB6">
        <w:rPr>
          <w:rStyle w:val="StrongEmphasis"/>
          <w:b w:val="0"/>
          <w:sz w:val="28"/>
          <w:szCs w:val="28"/>
        </w:rPr>
        <w:t>accompagne et oriente les entreprises dans le choix des meilleures technologie</w:t>
      </w:r>
      <w:r w:rsidR="00292CB6">
        <w:rPr>
          <w:rStyle w:val="StrongEmphasis"/>
          <w:rFonts w:hint="eastAsia"/>
          <w:b w:val="0"/>
          <w:sz w:val="28"/>
          <w:szCs w:val="28"/>
        </w:rPr>
        <w:t>s</w:t>
      </w:r>
      <w:r w:rsidR="00292CB6">
        <w:rPr>
          <w:rStyle w:val="StrongEmphasis"/>
          <w:b w:val="0"/>
          <w:sz w:val="28"/>
          <w:szCs w:val="28"/>
        </w:rPr>
        <w:t>. Et ce, grâce à un catalogue de solutions ultra innovantes</w:t>
      </w:r>
      <w:r w:rsidR="00DB334D">
        <w:rPr>
          <w:rStyle w:val="StrongEmphasis"/>
          <w:b w:val="0"/>
          <w:sz w:val="28"/>
          <w:szCs w:val="28"/>
        </w:rPr>
        <w:t xml:space="preserve"> développés </w:t>
      </w:r>
      <w:r w:rsidR="00292CB6">
        <w:rPr>
          <w:rStyle w:val="StrongEmphasis"/>
          <w:b w:val="0"/>
          <w:sz w:val="28"/>
          <w:szCs w:val="28"/>
        </w:rPr>
        <w:t>par nos partenaires</w:t>
      </w:r>
      <w:r w:rsidR="00DB334D">
        <w:rPr>
          <w:rStyle w:val="StrongEmphasis"/>
          <w:b w:val="0"/>
          <w:sz w:val="28"/>
          <w:szCs w:val="28"/>
        </w:rPr>
        <w:t xml:space="preserve"> prestigieux et innovants</w:t>
      </w:r>
      <w:r w:rsidR="00292CB6">
        <w:rPr>
          <w:rStyle w:val="StrongEmphasis"/>
          <w:b w:val="0"/>
          <w:sz w:val="28"/>
          <w:szCs w:val="28"/>
        </w:rPr>
        <w:t xml:space="preserve"> </w:t>
      </w:r>
      <w:r w:rsidR="00DB334D">
        <w:rPr>
          <w:rStyle w:val="StrongEmphasis"/>
          <w:b w:val="0"/>
          <w:sz w:val="28"/>
          <w:szCs w:val="28"/>
        </w:rPr>
        <w:t>tel</w:t>
      </w:r>
      <w:r w:rsidR="007D7B5E">
        <w:rPr>
          <w:rStyle w:val="StrongEmphasis"/>
          <w:b w:val="0"/>
          <w:sz w:val="28"/>
          <w:szCs w:val="28"/>
        </w:rPr>
        <w:t>s</w:t>
      </w:r>
      <w:r w:rsidR="00DB334D">
        <w:rPr>
          <w:rStyle w:val="StrongEmphasis"/>
          <w:b w:val="0"/>
          <w:sz w:val="28"/>
          <w:szCs w:val="28"/>
        </w:rPr>
        <w:t xml:space="preserve"> que </w:t>
      </w:r>
      <w:r w:rsidR="00292CB6">
        <w:rPr>
          <w:rStyle w:val="StrongEmphasis"/>
          <w:b w:val="0"/>
          <w:sz w:val="28"/>
          <w:szCs w:val="28"/>
        </w:rPr>
        <w:t xml:space="preserve">Cisco, DELL, CHECKPOINT, SYMANTEC, FORTINET, </w:t>
      </w:r>
      <w:r w:rsidR="00DB334D">
        <w:rPr>
          <w:rStyle w:val="StrongEmphasis"/>
          <w:b w:val="0"/>
          <w:sz w:val="28"/>
          <w:szCs w:val="28"/>
        </w:rPr>
        <w:t>(</w:t>
      </w:r>
      <w:r w:rsidR="00292CB6">
        <w:rPr>
          <w:rStyle w:val="StrongEmphasis"/>
          <w:b w:val="0"/>
          <w:sz w:val="28"/>
          <w:szCs w:val="28"/>
        </w:rPr>
        <w:t>etc</w:t>
      </w:r>
      <w:r w:rsidR="00DB334D">
        <w:rPr>
          <w:rStyle w:val="StrongEmphasis"/>
          <w:b w:val="0"/>
          <w:sz w:val="28"/>
          <w:szCs w:val="28"/>
        </w:rPr>
        <w:t>…)</w:t>
      </w:r>
      <w:r w:rsidR="00292CB6">
        <w:rPr>
          <w:rStyle w:val="StrongEmphasis"/>
          <w:b w:val="0"/>
          <w:sz w:val="28"/>
          <w:szCs w:val="28"/>
        </w:rPr>
        <w:t xml:space="preserve"> </w:t>
      </w:r>
      <w:r w:rsidR="00336604">
        <w:rPr>
          <w:rStyle w:val="StrongEmphasis"/>
          <w:b w:val="0"/>
          <w:sz w:val="28"/>
          <w:szCs w:val="28"/>
        </w:rPr>
        <w:t>pour mieux orienter nos client</w:t>
      </w:r>
      <w:r w:rsidR="00336604">
        <w:rPr>
          <w:rStyle w:val="StrongEmphasis"/>
          <w:rFonts w:hint="eastAsia"/>
          <w:b w:val="0"/>
          <w:sz w:val="28"/>
          <w:szCs w:val="28"/>
        </w:rPr>
        <w:t>s</w:t>
      </w:r>
      <w:r w:rsidR="00336604">
        <w:rPr>
          <w:rStyle w:val="StrongEmphasis"/>
          <w:b w:val="0"/>
          <w:sz w:val="28"/>
          <w:szCs w:val="28"/>
        </w:rPr>
        <w:t xml:space="preserve"> </w:t>
      </w:r>
      <w:r w:rsidR="00EF51D7">
        <w:rPr>
          <w:rStyle w:val="StrongEmphasis"/>
          <w:b w:val="0"/>
          <w:sz w:val="28"/>
          <w:szCs w:val="28"/>
        </w:rPr>
        <w:t>vers</w:t>
      </w:r>
      <w:r w:rsidR="00336604">
        <w:rPr>
          <w:rStyle w:val="StrongEmphasis"/>
          <w:b w:val="0"/>
          <w:sz w:val="28"/>
          <w:szCs w:val="28"/>
        </w:rPr>
        <w:t xml:space="preserve"> des solutions adaptées, durables et rentables.</w:t>
      </w:r>
    </w:p>
    <w:p w:rsidR="00C30697" w:rsidRDefault="00C30697">
      <w:pPr>
        <w:pStyle w:val="Standard"/>
        <w:spacing w:line="276" w:lineRule="auto"/>
        <w:rPr>
          <w:rFonts w:hint="eastAsia"/>
          <w:sz w:val="28"/>
          <w:szCs w:val="28"/>
        </w:rPr>
      </w:pPr>
    </w:p>
    <w:p w:rsidR="00C30697" w:rsidRPr="00336604" w:rsidRDefault="00336604">
      <w:pPr>
        <w:pStyle w:val="Standard"/>
        <w:spacing w:line="276" w:lineRule="auto"/>
        <w:rPr>
          <w:rFonts w:hint="eastAsia"/>
        </w:rPr>
      </w:pPr>
      <w:r>
        <w:rPr>
          <w:sz w:val="28"/>
          <w:szCs w:val="28"/>
        </w:rPr>
        <w:t>«</w:t>
      </w:r>
      <w:r>
        <w:rPr>
          <w:i/>
          <w:iCs/>
          <w:sz w:val="28"/>
          <w:szCs w:val="28"/>
        </w:rPr>
        <w:t xml:space="preserve"> Fac</w:t>
      </w:r>
      <w:r>
        <w:rPr>
          <w:rFonts w:hint="eastAsia"/>
          <w:i/>
          <w:iCs/>
          <w:sz w:val="28"/>
          <w:szCs w:val="28"/>
        </w:rPr>
        <w:t>e</w:t>
      </w:r>
      <w:r w:rsidR="00AC1185">
        <w:rPr>
          <w:i/>
          <w:iCs/>
          <w:sz w:val="28"/>
          <w:szCs w:val="28"/>
        </w:rPr>
        <w:t xml:space="preserve"> à la généralisation du télétravail générée par la pandémie, mais aussi à l’accélération de la transformation digitale qui est enregistrée à tous les niveaux, jamais les risques de cyberattaques n’ont été aussi accrus.  Plusieurs études récentes démontrent qu’une cyberattaque a lieu toutes les onze secondes dans le monde. Dans ce contexte, il est devenu très important pour les entreprises au Maroc, comme dans le reste du monde, d’être cyber-</w:t>
      </w:r>
      <w:r>
        <w:rPr>
          <w:i/>
          <w:iCs/>
          <w:sz w:val="28"/>
          <w:szCs w:val="28"/>
        </w:rPr>
        <w:t>résilientes</w:t>
      </w:r>
      <w:r>
        <w:rPr>
          <w:sz w:val="28"/>
          <w:szCs w:val="28"/>
        </w:rPr>
        <w:t xml:space="preserve"> </w:t>
      </w:r>
      <w:r>
        <w:rPr>
          <w:rFonts w:hint="eastAsia"/>
          <w:sz w:val="28"/>
          <w:szCs w:val="28"/>
        </w:rPr>
        <w:t>»</w:t>
      </w:r>
      <w:r w:rsidR="00AC1185">
        <w:rPr>
          <w:sz w:val="28"/>
          <w:szCs w:val="28"/>
        </w:rPr>
        <w:t xml:space="preserve">, a déclaré </w:t>
      </w:r>
      <w:r w:rsidRPr="00336604">
        <w:rPr>
          <w:sz w:val="28"/>
          <w:szCs w:val="28"/>
        </w:rPr>
        <w:t>Reda</w:t>
      </w:r>
      <w:r w:rsidR="00AA3930" w:rsidRPr="00336604">
        <w:rPr>
          <w:sz w:val="28"/>
          <w:szCs w:val="28"/>
        </w:rPr>
        <w:t xml:space="preserve"> </w:t>
      </w:r>
      <w:r w:rsidR="00EF51D7">
        <w:rPr>
          <w:sz w:val="28"/>
          <w:szCs w:val="28"/>
        </w:rPr>
        <w:t>Bakkali</w:t>
      </w:r>
      <w:r w:rsidR="00AC1185" w:rsidRPr="00336604">
        <w:rPr>
          <w:sz w:val="28"/>
          <w:szCs w:val="28"/>
        </w:rPr>
        <w:t xml:space="preserve">, </w:t>
      </w:r>
      <w:r w:rsidR="00AA3930" w:rsidRPr="00336604">
        <w:rPr>
          <w:sz w:val="28"/>
          <w:szCs w:val="28"/>
        </w:rPr>
        <w:t>PDG</w:t>
      </w:r>
      <w:r w:rsidR="00AA3930">
        <w:rPr>
          <w:sz w:val="28"/>
          <w:szCs w:val="28"/>
        </w:rPr>
        <w:t xml:space="preserve"> chez </w:t>
      </w:r>
      <w:r w:rsidR="00AC1185">
        <w:rPr>
          <w:sz w:val="28"/>
          <w:szCs w:val="28"/>
        </w:rPr>
        <w:t xml:space="preserve">Ineos Cyberforce. </w:t>
      </w:r>
      <w:r w:rsidR="00AC1185" w:rsidRPr="00EF51D7">
        <w:rPr>
          <w:sz w:val="28"/>
          <w:szCs w:val="28"/>
        </w:rPr>
        <w:t xml:space="preserve">Et </w:t>
      </w:r>
      <w:r w:rsidRPr="00EF51D7">
        <w:rPr>
          <w:sz w:val="28"/>
          <w:szCs w:val="28"/>
        </w:rPr>
        <w:t xml:space="preserve">d’ajouter </w:t>
      </w:r>
      <w:r w:rsidRPr="00EF51D7">
        <w:rPr>
          <w:rFonts w:hint="eastAsia"/>
          <w:sz w:val="28"/>
          <w:szCs w:val="28"/>
        </w:rPr>
        <w:t>:</w:t>
      </w:r>
      <w:r w:rsidR="00AC1185" w:rsidRPr="00EF51D7">
        <w:rPr>
          <w:sz w:val="28"/>
          <w:szCs w:val="28"/>
        </w:rPr>
        <w:t xml:space="preserve"> «la force de notre entreprise repose sur l’expertise de nos consultants et sur notre puissant réseau de partenaires internationaux. Cette base robuste permet aujourd’hui à notre groupe</w:t>
      </w:r>
      <w:r w:rsidR="00AC1185" w:rsidRPr="00EF51D7">
        <w:rPr>
          <w:rStyle w:val="StrongEmphasis"/>
          <w:sz w:val="28"/>
          <w:szCs w:val="28"/>
        </w:rPr>
        <w:t xml:space="preserve"> </w:t>
      </w:r>
      <w:r w:rsidR="00AC1185" w:rsidRPr="00EF51D7">
        <w:rPr>
          <w:sz w:val="28"/>
          <w:szCs w:val="28"/>
        </w:rPr>
        <w:t>de s’affirmer comme une référence en matière de cybersécurité</w:t>
      </w:r>
      <w:r w:rsidR="00AA3930" w:rsidRPr="00EF51D7">
        <w:rPr>
          <w:sz w:val="28"/>
          <w:szCs w:val="28"/>
        </w:rPr>
        <w:t>, de réseau et d’infrastructure système,</w:t>
      </w:r>
      <w:r w:rsidR="00AC1185" w:rsidRPr="00EF51D7">
        <w:rPr>
          <w:sz w:val="28"/>
          <w:szCs w:val="28"/>
        </w:rPr>
        <w:t xml:space="preserve"> </w:t>
      </w:r>
      <w:r w:rsidR="00EF51D7">
        <w:rPr>
          <w:sz w:val="28"/>
          <w:szCs w:val="28"/>
        </w:rPr>
        <w:t>capable</w:t>
      </w:r>
      <w:r w:rsidR="00AC1185" w:rsidRPr="00EF51D7">
        <w:rPr>
          <w:sz w:val="28"/>
          <w:szCs w:val="28"/>
        </w:rPr>
        <w:t xml:space="preserve"> d’accompagner les entreprises</w:t>
      </w:r>
      <w:r w:rsidRPr="00EF51D7">
        <w:rPr>
          <w:sz w:val="28"/>
          <w:szCs w:val="28"/>
        </w:rPr>
        <w:t xml:space="preserve"> dans le choix des meilleurs technologies ».</w:t>
      </w:r>
    </w:p>
    <w:p w:rsidR="00C30697" w:rsidRDefault="00C30697">
      <w:pPr>
        <w:pStyle w:val="Standard"/>
        <w:spacing w:line="276" w:lineRule="auto"/>
        <w:rPr>
          <w:rFonts w:hint="eastAsia"/>
          <w:sz w:val="28"/>
          <w:szCs w:val="28"/>
        </w:rPr>
      </w:pPr>
    </w:p>
    <w:p w:rsidR="00C30697" w:rsidRDefault="00AC1185">
      <w:pPr>
        <w:pStyle w:val="Standard"/>
        <w:spacing w:line="276" w:lineRule="auto"/>
        <w:rPr>
          <w:rFonts w:hint="eastAsia"/>
        </w:rPr>
      </w:pPr>
      <w:r>
        <w:rPr>
          <w:sz w:val="28"/>
          <w:szCs w:val="28"/>
        </w:rPr>
        <w:t>Le portfolio</w:t>
      </w:r>
      <w:r>
        <w:rPr>
          <w:rStyle w:val="StrongEmphasis"/>
          <w:sz w:val="28"/>
          <w:szCs w:val="28"/>
        </w:rPr>
        <w:t xml:space="preserve"> </w:t>
      </w:r>
      <w:r>
        <w:rPr>
          <w:rStyle w:val="StrongEmphasis"/>
          <w:b w:val="0"/>
          <w:bCs w:val="0"/>
          <w:sz w:val="28"/>
          <w:szCs w:val="28"/>
        </w:rPr>
        <w:t>de solutions proposé par Ineos Cyberforce</w:t>
      </w:r>
      <w:r>
        <w:rPr>
          <w:rStyle w:val="StrongEmphasis"/>
          <w:sz w:val="28"/>
          <w:szCs w:val="28"/>
        </w:rPr>
        <w:t xml:space="preserve"> </w:t>
      </w:r>
      <w:r>
        <w:rPr>
          <w:sz w:val="28"/>
          <w:szCs w:val="28"/>
        </w:rPr>
        <w:t xml:space="preserve">est constitué d’offres de services qui couvrent un large champ d’interventions dans les domaines des infrastructures systèmes et réseau, mais aussi en matière de cybersécurité. Ces solutions s’étendent de la sécurisation des architectures à la formation, en passant par l’audit des systèmes et par les opérations de maintenance et de support. Elles sont déclinées en plusieurs </w:t>
      </w:r>
      <w:proofErr w:type="gramStart"/>
      <w:r>
        <w:rPr>
          <w:sz w:val="28"/>
          <w:szCs w:val="28"/>
        </w:rPr>
        <w:t>volets:</w:t>
      </w:r>
      <w:proofErr w:type="gramEnd"/>
      <w:r>
        <w:rPr>
          <w:sz w:val="28"/>
          <w:szCs w:val="28"/>
        </w:rPr>
        <w:t xml:space="preserve"> conseil, analyse de l’existant et des besoins, conception d’architectures, fourniture de composants hardware, software et abonnements, installation, configuration, recette et mise en œuvre, transferts de connaissances, maintenance, exploitation, supervision, etc.</w:t>
      </w:r>
    </w:p>
    <w:p w:rsidR="00C30697" w:rsidRDefault="00C30697">
      <w:pPr>
        <w:pStyle w:val="Standard"/>
        <w:spacing w:line="276" w:lineRule="auto"/>
        <w:rPr>
          <w:rFonts w:hint="eastAsia"/>
          <w:sz w:val="28"/>
          <w:szCs w:val="28"/>
        </w:rPr>
      </w:pPr>
    </w:p>
    <w:p w:rsidR="00C30697" w:rsidRDefault="00AC1185">
      <w:pPr>
        <w:pStyle w:val="Standard"/>
        <w:spacing w:line="276" w:lineRule="auto"/>
        <w:rPr>
          <w:rFonts w:hint="eastAsia"/>
        </w:rPr>
      </w:pPr>
      <w:r>
        <w:rPr>
          <w:sz w:val="28"/>
          <w:szCs w:val="28"/>
        </w:rPr>
        <w:t xml:space="preserve">Qu’il s’agisse d’opérer une segmentation réseau, de </w:t>
      </w:r>
      <w:r>
        <w:rPr>
          <w:rStyle w:val="StrongEmphasis"/>
          <w:b w:val="0"/>
          <w:bCs w:val="0"/>
          <w:sz w:val="28"/>
          <w:szCs w:val="28"/>
        </w:rPr>
        <w:t xml:space="preserve">renforcer la sécurité des équipements </w:t>
      </w:r>
      <w:r w:rsidR="007D7B5E">
        <w:rPr>
          <w:rStyle w:val="StrongEmphasis"/>
          <w:b w:val="0"/>
          <w:bCs w:val="0"/>
          <w:sz w:val="28"/>
          <w:szCs w:val="28"/>
        </w:rPr>
        <w:t xml:space="preserve">IT et </w:t>
      </w:r>
      <w:r w:rsidR="00854E11" w:rsidRPr="007D7B5E">
        <w:rPr>
          <w:rStyle w:val="StrongEmphasis"/>
          <w:b w:val="0"/>
          <w:bCs w:val="0"/>
          <w:sz w:val="28"/>
          <w:szCs w:val="28"/>
        </w:rPr>
        <w:t>industriels</w:t>
      </w:r>
      <w:r>
        <w:rPr>
          <w:rStyle w:val="StrongEmphasis"/>
          <w:b w:val="0"/>
          <w:bCs w:val="0"/>
          <w:sz w:val="28"/>
          <w:szCs w:val="28"/>
        </w:rPr>
        <w:t xml:space="preserve">, </w:t>
      </w:r>
      <w:r>
        <w:rPr>
          <w:sz w:val="28"/>
          <w:szCs w:val="28"/>
        </w:rPr>
        <w:t>d’</w:t>
      </w:r>
      <w:r>
        <w:rPr>
          <w:rStyle w:val="StrongEmphasis"/>
          <w:b w:val="0"/>
          <w:bCs w:val="0"/>
          <w:sz w:val="28"/>
          <w:szCs w:val="28"/>
        </w:rPr>
        <w:t xml:space="preserve">assainir tous les supports amovibles, ou de réaliser un contrôle des accès privilégiés, déployer un </w:t>
      </w:r>
      <w:proofErr w:type="spellStart"/>
      <w:r>
        <w:rPr>
          <w:rStyle w:val="StrongEmphasis"/>
          <w:b w:val="0"/>
          <w:bCs w:val="0"/>
          <w:sz w:val="28"/>
          <w:szCs w:val="28"/>
        </w:rPr>
        <w:t>firewalling</w:t>
      </w:r>
      <w:proofErr w:type="spellEnd"/>
      <w:r>
        <w:rPr>
          <w:rStyle w:val="StrongEmphasis"/>
          <w:b w:val="0"/>
          <w:bCs w:val="0"/>
          <w:sz w:val="28"/>
          <w:szCs w:val="28"/>
        </w:rPr>
        <w:t xml:space="preserve"> via des </w:t>
      </w:r>
      <w:proofErr w:type="spellStart"/>
      <w:r>
        <w:rPr>
          <w:rStyle w:val="StrongEmphasis"/>
          <w:b w:val="0"/>
          <w:bCs w:val="0"/>
          <w:sz w:val="28"/>
          <w:szCs w:val="28"/>
        </w:rPr>
        <w:t>pare-feux</w:t>
      </w:r>
      <w:proofErr w:type="spellEnd"/>
      <w:r>
        <w:rPr>
          <w:rStyle w:val="StrongEmphasis"/>
          <w:b w:val="0"/>
          <w:bCs w:val="0"/>
          <w:sz w:val="28"/>
          <w:szCs w:val="28"/>
        </w:rPr>
        <w:t xml:space="preserve"> </w:t>
      </w:r>
      <w:proofErr w:type="spellStart"/>
      <w:r>
        <w:rPr>
          <w:rStyle w:val="StrongEmphasis"/>
          <w:b w:val="0"/>
          <w:bCs w:val="0"/>
          <w:sz w:val="28"/>
          <w:szCs w:val="28"/>
        </w:rPr>
        <w:t>next</w:t>
      </w:r>
      <w:proofErr w:type="spellEnd"/>
      <w:r>
        <w:rPr>
          <w:rStyle w:val="StrongEmphasis"/>
          <w:b w:val="0"/>
          <w:bCs w:val="0"/>
          <w:sz w:val="28"/>
          <w:szCs w:val="28"/>
        </w:rPr>
        <w:t xml:space="preserve"> </w:t>
      </w:r>
      <w:proofErr w:type="spellStart"/>
      <w:r>
        <w:rPr>
          <w:rStyle w:val="StrongEmphasis"/>
          <w:b w:val="0"/>
          <w:bCs w:val="0"/>
          <w:sz w:val="28"/>
          <w:szCs w:val="28"/>
        </w:rPr>
        <w:t>generation</w:t>
      </w:r>
      <w:proofErr w:type="spellEnd"/>
      <w:r>
        <w:rPr>
          <w:rStyle w:val="StrongEmphasis"/>
          <w:b w:val="0"/>
          <w:bCs w:val="0"/>
          <w:sz w:val="28"/>
          <w:szCs w:val="28"/>
        </w:rPr>
        <w:t xml:space="preserve">, </w:t>
      </w:r>
      <w:proofErr w:type="spellStart"/>
      <w:r>
        <w:rPr>
          <w:rStyle w:val="StrongEmphasis"/>
          <w:b w:val="0"/>
          <w:bCs w:val="0"/>
          <w:sz w:val="28"/>
          <w:szCs w:val="28"/>
        </w:rPr>
        <w:t>Ineos</w:t>
      </w:r>
      <w:proofErr w:type="spellEnd"/>
      <w:r>
        <w:rPr>
          <w:rStyle w:val="StrongEmphasis"/>
          <w:b w:val="0"/>
          <w:bCs w:val="0"/>
          <w:sz w:val="28"/>
          <w:szCs w:val="28"/>
        </w:rPr>
        <w:t xml:space="preserve"> </w:t>
      </w:r>
      <w:proofErr w:type="spellStart"/>
      <w:r>
        <w:rPr>
          <w:rStyle w:val="StrongEmphasis"/>
          <w:b w:val="0"/>
          <w:bCs w:val="0"/>
          <w:sz w:val="28"/>
          <w:szCs w:val="28"/>
        </w:rPr>
        <w:t>Cyberforce</w:t>
      </w:r>
      <w:proofErr w:type="spellEnd"/>
      <w:r>
        <w:rPr>
          <w:rStyle w:val="StrongEmphasis"/>
          <w:b w:val="0"/>
          <w:bCs w:val="0"/>
          <w:sz w:val="28"/>
          <w:szCs w:val="28"/>
        </w:rPr>
        <w:t xml:space="preserve"> adopte toujours une stratégie transversale qui permet de sécuriser la data sensible</w:t>
      </w:r>
      <w:r>
        <w:rPr>
          <w:sz w:val="28"/>
          <w:szCs w:val="28"/>
        </w:rPr>
        <w:t xml:space="preserve"> sur tous les fronts. Les solutions du Groupe sont modulaires et peuvent être adaptées, selon les besoins, à tout type de secteurs d’activités ou d’entreprises.</w:t>
      </w:r>
    </w:p>
    <w:p w:rsidR="00C30697" w:rsidRDefault="00C30697">
      <w:pPr>
        <w:pStyle w:val="Standard"/>
        <w:spacing w:line="276" w:lineRule="auto"/>
        <w:rPr>
          <w:rFonts w:hint="eastAsia"/>
          <w:sz w:val="28"/>
          <w:szCs w:val="28"/>
        </w:rPr>
      </w:pPr>
    </w:p>
    <w:p w:rsidR="00C30697" w:rsidRDefault="00AC1185">
      <w:pPr>
        <w:pStyle w:val="Standard"/>
        <w:spacing w:line="276" w:lineRule="auto"/>
        <w:rPr>
          <w:rFonts w:hint="eastAsia"/>
          <w:b/>
          <w:bCs/>
          <w:sz w:val="28"/>
          <w:szCs w:val="28"/>
        </w:rPr>
      </w:pPr>
      <w:r>
        <w:rPr>
          <w:b/>
          <w:bCs/>
          <w:sz w:val="28"/>
          <w:szCs w:val="28"/>
        </w:rPr>
        <w:t>A propos de Ineos Cyberforce</w:t>
      </w:r>
    </w:p>
    <w:p w:rsidR="00C30697" w:rsidRDefault="00C30697">
      <w:pPr>
        <w:pStyle w:val="Standard"/>
        <w:spacing w:line="276" w:lineRule="auto"/>
        <w:rPr>
          <w:rFonts w:hint="eastAsia"/>
          <w:sz w:val="28"/>
          <w:szCs w:val="28"/>
        </w:rPr>
      </w:pPr>
    </w:p>
    <w:p w:rsidR="00C30697" w:rsidRDefault="00AC1185">
      <w:pPr>
        <w:pStyle w:val="Textbody"/>
        <w:rPr>
          <w:rFonts w:hint="eastAsia"/>
          <w:color w:val="212121"/>
          <w:sz w:val="28"/>
          <w:szCs w:val="28"/>
        </w:rPr>
      </w:pPr>
      <w:r>
        <w:rPr>
          <w:rStyle w:val="StrongEmphasis"/>
          <w:b w:val="0"/>
          <w:bCs w:val="0"/>
          <w:color w:val="212121"/>
          <w:sz w:val="28"/>
          <w:szCs w:val="28"/>
        </w:rPr>
        <w:t>Ineos Cyberforce </w:t>
      </w:r>
      <w:r>
        <w:rPr>
          <w:color w:val="212121"/>
          <w:sz w:val="28"/>
          <w:szCs w:val="28"/>
        </w:rPr>
        <w:t xml:space="preserve">est un groupe </w:t>
      </w:r>
      <w:r w:rsidRPr="00336604">
        <w:rPr>
          <w:sz w:val="28"/>
          <w:szCs w:val="28"/>
        </w:rPr>
        <w:t xml:space="preserve">de référence en matière </w:t>
      </w:r>
      <w:r w:rsidR="00C7233B" w:rsidRPr="00336604">
        <w:rPr>
          <w:sz w:val="28"/>
          <w:szCs w:val="28"/>
        </w:rPr>
        <w:t xml:space="preserve">de réseau, </w:t>
      </w:r>
      <w:r w:rsidRPr="00336604">
        <w:rPr>
          <w:sz w:val="28"/>
          <w:szCs w:val="28"/>
        </w:rPr>
        <w:t xml:space="preserve">d’infrastructure </w:t>
      </w:r>
      <w:r w:rsidR="00C7233B" w:rsidRPr="00336604">
        <w:rPr>
          <w:sz w:val="28"/>
          <w:szCs w:val="28"/>
        </w:rPr>
        <w:t>système</w:t>
      </w:r>
      <w:r w:rsidRPr="00336604">
        <w:rPr>
          <w:sz w:val="28"/>
          <w:szCs w:val="28"/>
        </w:rPr>
        <w:t xml:space="preserve"> et de cybersécurité au Maroc</w:t>
      </w:r>
      <w:r w:rsidR="00C7233B" w:rsidRPr="00336604">
        <w:rPr>
          <w:sz w:val="28"/>
          <w:szCs w:val="28"/>
        </w:rPr>
        <w:t xml:space="preserve"> et en Afrique de l’Ouest</w:t>
      </w:r>
      <w:r w:rsidRPr="00336604">
        <w:rPr>
          <w:sz w:val="28"/>
          <w:szCs w:val="28"/>
        </w:rPr>
        <w:t>. Grâce</w:t>
      </w:r>
      <w:r>
        <w:rPr>
          <w:color w:val="212121"/>
          <w:sz w:val="28"/>
          <w:szCs w:val="28"/>
        </w:rPr>
        <w:t xml:space="preserve"> à l’expertise de ses consultants et à un écosystème de grands partenaires, le groupe oriente et accompagne ses clients de toutes tailles aussi bien en matière de sécurité que dans leurs stratégies de transformation. A</w:t>
      </w:r>
      <w:r>
        <w:rPr>
          <w:color w:val="000000"/>
          <w:sz w:val="28"/>
          <w:szCs w:val="28"/>
        </w:rPr>
        <w:t>cteur majeur du conseil et de l’intégration des solutions Réseau, Cloud et Sécurité</w:t>
      </w:r>
      <w:r>
        <w:rPr>
          <w:color w:val="212121"/>
          <w:sz w:val="28"/>
          <w:szCs w:val="28"/>
        </w:rPr>
        <w:t>, le Groupe propose un catalogue de produits leaders d’avant-garde qui aide les entreprises à miser sur les nouveautés techniques pour améliorer la protection de leurs informations sensibles, mais aussi à mieux se transformer numériquement. Parmi les clients du Groupe figurent des entreprises privées, dont plusieurs de grande taille, mais aussi des administrations publiques. Ces clients couvrent dans un champ très étendu de secteurs, au-delà des seules sociétés spécialisées dans l’Internet et les données : Banque &amp; Assurance, Aviation, Sciences de la vie, Soins de santé, Pharmacie, Énergie, Télécommunications, Grande Distribution…</w:t>
      </w:r>
    </w:p>
    <w:p w:rsidR="00C30697" w:rsidRDefault="00C30697">
      <w:pPr>
        <w:pStyle w:val="Standard"/>
        <w:rPr>
          <w:rFonts w:hint="eastAsia"/>
          <w:sz w:val="28"/>
          <w:szCs w:val="28"/>
        </w:rPr>
      </w:pPr>
    </w:p>
    <w:p w:rsidR="00C30697" w:rsidRDefault="00C7233B">
      <w:pPr>
        <w:pStyle w:val="Standard"/>
        <w:rPr>
          <w:rFonts w:hint="eastAsia"/>
          <w:sz w:val="28"/>
          <w:szCs w:val="28"/>
        </w:rPr>
      </w:pPr>
      <w:r>
        <w:rPr>
          <w:sz w:val="28"/>
          <w:szCs w:val="28"/>
        </w:rPr>
        <w:t xml:space="preserve"> </w:t>
      </w:r>
    </w:p>
    <w:sectPr w:rsidR="00C30697">
      <w:headerReference w:type="default" r:id="rId6"/>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309" w:rsidRDefault="00037309">
      <w:pPr>
        <w:rPr>
          <w:rFonts w:hint="eastAsia"/>
        </w:rPr>
      </w:pPr>
      <w:r>
        <w:separator/>
      </w:r>
    </w:p>
  </w:endnote>
  <w:endnote w:type="continuationSeparator" w:id="0">
    <w:p w:rsidR="00037309" w:rsidRDefault="0003730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OpenSymbol">
    <w:panose1 w:val="020B0604020202020204"/>
    <w:charset w:val="02"/>
    <w:family w:val="auto"/>
    <w:pitch w:val="default"/>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309" w:rsidRDefault="00037309">
      <w:pPr>
        <w:rPr>
          <w:rFonts w:hint="eastAsia"/>
        </w:rPr>
      </w:pPr>
      <w:r>
        <w:rPr>
          <w:color w:val="000000"/>
        </w:rPr>
        <w:separator/>
      </w:r>
    </w:p>
  </w:footnote>
  <w:footnote w:type="continuationSeparator" w:id="0">
    <w:p w:rsidR="00037309" w:rsidRDefault="0003730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52D" w:rsidRDefault="007A576A" w:rsidP="007A576A">
    <w:pPr>
      <w:pStyle w:val="En-tte"/>
      <w:rPr>
        <w:rFonts w:hint="eastAsia"/>
      </w:rPr>
    </w:pPr>
    <w:r>
      <w:rPr>
        <w:rFonts w:hint="eastAsia"/>
        <w:noProof/>
      </w:rPr>
      <w:drawing>
        <wp:inline distT="0" distB="0" distL="0" distR="0">
          <wp:extent cx="1306286" cy="417177"/>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EOS-.pdf"/>
                  <pic:cNvPicPr/>
                </pic:nvPicPr>
                <pic:blipFill>
                  <a:blip r:embed="rId1">
                    <a:extLst>
                      <a:ext uri="{28A0092B-C50C-407E-A947-70E740481C1C}">
                        <a14:useLocalDpi xmlns:a14="http://schemas.microsoft.com/office/drawing/2010/main" val="0"/>
                      </a:ext>
                    </a:extLst>
                  </a:blip>
                  <a:stretch>
                    <a:fillRect/>
                  </a:stretch>
                </pic:blipFill>
                <pic:spPr>
                  <a:xfrm>
                    <a:off x="0" y="0"/>
                    <a:ext cx="1358702" cy="433917"/>
                  </a:xfrm>
                  <a:prstGeom prst="rect">
                    <a:avLst/>
                  </a:prstGeom>
                </pic:spPr>
              </pic:pic>
            </a:graphicData>
          </a:graphic>
        </wp:inline>
      </w:drawing>
    </w:r>
    <w:r>
      <w:t xml:space="preserve">                                                                                                  </w:t>
    </w:r>
    <w:r>
      <w:rPr>
        <w:rFonts w:hint="eastAsia"/>
        <w:noProof/>
      </w:rPr>
      <w:drawing>
        <wp:inline distT="0" distB="0" distL="0" distR="0">
          <wp:extent cx="1045029" cy="73850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YBER FORCE.pdf"/>
                  <pic:cNvPicPr/>
                </pic:nvPicPr>
                <pic:blipFill>
                  <a:blip r:embed="rId2">
                    <a:extLst>
                      <a:ext uri="{28A0092B-C50C-407E-A947-70E740481C1C}">
                        <a14:useLocalDpi xmlns:a14="http://schemas.microsoft.com/office/drawing/2010/main" val="0"/>
                      </a:ext>
                    </a:extLst>
                  </a:blip>
                  <a:stretch>
                    <a:fillRect/>
                  </a:stretch>
                </pic:blipFill>
                <pic:spPr>
                  <a:xfrm>
                    <a:off x="0" y="0"/>
                    <a:ext cx="1078041" cy="76183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697"/>
    <w:rsid w:val="00022FA0"/>
    <w:rsid w:val="00037309"/>
    <w:rsid w:val="001A5BC7"/>
    <w:rsid w:val="00292CB6"/>
    <w:rsid w:val="00336604"/>
    <w:rsid w:val="003D1175"/>
    <w:rsid w:val="003D6888"/>
    <w:rsid w:val="0074167B"/>
    <w:rsid w:val="00746567"/>
    <w:rsid w:val="007A576A"/>
    <w:rsid w:val="007B2439"/>
    <w:rsid w:val="007B2E12"/>
    <w:rsid w:val="007D7B5E"/>
    <w:rsid w:val="00854E11"/>
    <w:rsid w:val="008E752F"/>
    <w:rsid w:val="00913002"/>
    <w:rsid w:val="00A17074"/>
    <w:rsid w:val="00A366E9"/>
    <w:rsid w:val="00A4152D"/>
    <w:rsid w:val="00AA3930"/>
    <w:rsid w:val="00AC1185"/>
    <w:rsid w:val="00BD29F5"/>
    <w:rsid w:val="00C30697"/>
    <w:rsid w:val="00C63DF4"/>
    <w:rsid w:val="00C7233B"/>
    <w:rsid w:val="00DB334D"/>
    <w:rsid w:val="00E45268"/>
    <w:rsid w:val="00EF51D7"/>
    <w:rsid w:val="00F1260E"/>
    <w:rsid w:val="00FE6AD0"/>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BA724"/>
  <w15:docId w15:val="{CC9703D6-2B67-C941-BF22-D58103C64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lang w:val="fr-MA"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autoSpaceDN w:val="0"/>
      <w:textAlignment w:val="baseline"/>
    </w:pPr>
    <w:rPr>
      <w:kern w:val="3"/>
      <w:sz w:val="24"/>
      <w:szCs w:val="24"/>
      <w:lang w:val="fr-FR"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autoSpaceDN w:val="0"/>
      <w:textAlignment w:val="baseline"/>
    </w:pPr>
    <w:rPr>
      <w:kern w:val="3"/>
      <w:sz w:val="24"/>
      <w:szCs w:val="24"/>
      <w:lang w:val="fr-FR"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paragraph" w:styleId="En-tte">
    <w:name w:val="header"/>
    <w:basedOn w:val="Normal"/>
    <w:link w:val="En-tteCar"/>
    <w:uiPriority w:val="99"/>
    <w:unhideWhenUsed/>
    <w:rsid w:val="00A4152D"/>
    <w:pPr>
      <w:tabs>
        <w:tab w:val="center" w:pos="4536"/>
        <w:tab w:val="right" w:pos="9072"/>
      </w:tabs>
    </w:pPr>
    <w:rPr>
      <w:rFonts w:cs="Mangal"/>
      <w:szCs w:val="21"/>
    </w:rPr>
  </w:style>
  <w:style w:type="character" w:customStyle="1" w:styleId="En-tteCar">
    <w:name w:val="En-tête Car"/>
    <w:basedOn w:val="Policepardfaut"/>
    <w:link w:val="En-tte"/>
    <w:uiPriority w:val="99"/>
    <w:rsid w:val="00A4152D"/>
    <w:rPr>
      <w:rFonts w:cs="Mangal"/>
      <w:kern w:val="3"/>
      <w:sz w:val="24"/>
      <w:szCs w:val="21"/>
      <w:lang w:val="fr-FR" w:eastAsia="zh-CN" w:bidi="hi-IN"/>
    </w:rPr>
  </w:style>
  <w:style w:type="paragraph" w:styleId="Pieddepage">
    <w:name w:val="footer"/>
    <w:basedOn w:val="Normal"/>
    <w:link w:val="PieddepageCar"/>
    <w:uiPriority w:val="99"/>
    <w:unhideWhenUsed/>
    <w:rsid w:val="00A4152D"/>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A4152D"/>
    <w:rPr>
      <w:rFonts w:cs="Mangal"/>
      <w:kern w:val="3"/>
      <w:sz w:val="24"/>
      <w:szCs w:val="21"/>
      <w:lang w:val="fr-F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613</Words>
  <Characters>3375</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2</cp:revision>
  <dcterms:created xsi:type="dcterms:W3CDTF">2021-10-25T15:50:00Z</dcterms:created>
  <dcterms:modified xsi:type="dcterms:W3CDTF">2021-10-25T15:50:00Z</dcterms:modified>
</cp:coreProperties>
</file>