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D4" w:rsidRPr="00E00DD4" w:rsidRDefault="00E00DD4" w:rsidP="00E00DD4">
      <w:pPr>
        <w:spacing w:after="0" w:line="240" w:lineRule="auto"/>
        <w:jc w:val="right"/>
        <w:rPr>
          <w:rFonts w:cstheme="majorBidi"/>
          <w:sz w:val="24"/>
          <w:szCs w:val="24"/>
        </w:rPr>
      </w:pPr>
      <w:r w:rsidRPr="00E00DD4">
        <w:rPr>
          <w:rFonts w:cstheme="majorBidi"/>
          <w:sz w:val="24"/>
          <w:szCs w:val="24"/>
        </w:rPr>
        <w:t>Rabat, le 20.07.2017</w:t>
      </w:r>
    </w:p>
    <w:p w:rsidR="00E00DD4" w:rsidRPr="00E00DD4" w:rsidRDefault="00E00DD4" w:rsidP="00E00DD4">
      <w:pPr>
        <w:spacing w:after="0" w:line="240" w:lineRule="auto"/>
        <w:jc w:val="right"/>
        <w:rPr>
          <w:rFonts w:cstheme="majorBidi"/>
          <w:sz w:val="24"/>
          <w:szCs w:val="24"/>
        </w:rPr>
      </w:pPr>
    </w:p>
    <w:p w:rsidR="00E00DD4" w:rsidRPr="00E00DD4" w:rsidRDefault="00E00DD4" w:rsidP="00E00DD4">
      <w:pPr>
        <w:spacing w:after="0" w:line="240" w:lineRule="auto"/>
        <w:jc w:val="center"/>
        <w:rPr>
          <w:rFonts w:cstheme="majorBidi"/>
          <w:b/>
          <w:bCs/>
          <w:sz w:val="24"/>
          <w:szCs w:val="24"/>
          <w:u w:val="single"/>
        </w:rPr>
      </w:pPr>
      <w:r w:rsidRPr="00E00DD4">
        <w:rPr>
          <w:rFonts w:cstheme="majorBidi"/>
          <w:b/>
          <w:bCs/>
          <w:sz w:val="24"/>
          <w:szCs w:val="24"/>
          <w:u w:val="single"/>
        </w:rPr>
        <w:t>COMMUNIQUE DE PRESSE</w:t>
      </w:r>
    </w:p>
    <w:p w:rsidR="00E00DD4" w:rsidRPr="00E00DD4" w:rsidRDefault="00E00DD4" w:rsidP="00E00DD4">
      <w:pPr>
        <w:spacing w:after="0" w:line="240" w:lineRule="auto"/>
        <w:jc w:val="center"/>
        <w:rPr>
          <w:rFonts w:cstheme="majorBidi"/>
          <w:b/>
          <w:bCs/>
          <w:sz w:val="24"/>
          <w:szCs w:val="24"/>
        </w:rPr>
      </w:pPr>
      <w:r w:rsidRPr="00E00DD4">
        <w:rPr>
          <w:rFonts w:cstheme="majorBidi"/>
          <w:b/>
          <w:bCs/>
          <w:sz w:val="24"/>
          <w:szCs w:val="24"/>
        </w:rPr>
        <w:t>LE MINISTERE DE L’AGRICULTURE ET DE LA PECHE MARITIME LANCE UN PROGRAMME D’URGENCE POUR LUTTER CONTRE LA COCHENILLE DU CACTUS</w:t>
      </w:r>
    </w:p>
    <w:p w:rsidR="00E00DD4" w:rsidRPr="00E00DD4" w:rsidRDefault="00E00DD4" w:rsidP="00E00DD4">
      <w:pPr>
        <w:spacing w:after="0" w:line="240" w:lineRule="auto"/>
        <w:jc w:val="center"/>
        <w:rPr>
          <w:rFonts w:cstheme="majorBidi"/>
          <w:b/>
          <w:bCs/>
          <w:sz w:val="24"/>
          <w:szCs w:val="24"/>
        </w:rPr>
      </w:pPr>
    </w:p>
    <w:p w:rsidR="00E00DD4" w:rsidRPr="00E00DD4" w:rsidRDefault="00E00DD4" w:rsidP="00E00DD4">
      <w:pPr>
        <w:spacing w:before="120" w:after="0" w:line="240" w:lineRule="auto"/>
        <w:jc w:val="both"/>
        <w:rPr>
          <w:rFonts w:cstheme="majorBidi"/>
          <w:sz w:val="24"/>
          <w:szCs w:val="24"/>
        </w:rPr>
      </w:pPr>
      <w:proofErr w:type="gramStart"/>
      <w:r w:rsidRPr="00E00DD4">
        <w:rPr>
          <w:rFonts w:cstheme="majorBidi"/>
          <w:sz w:val="24"/>
          <w:szCs w:val="24"/>
        </w:rPr>
        <w:t xml:space="preserve">Pour lutter contre la cochenille du cactus, un parasite ravageur apparu récemment dans les provinces de Sidi Bennour, </w:t>
      </w:r>
      <w:proofErr w:type="spellStart"/>
      <w:r w:rsidRPr="00E00DD4">
        <w:rPr>
          <w:rFonts w:cstheme="majorBidi"/>
          <w:sz w:val="24"/>
          <w:szCs w:val="24"/>
        </w:rPr>
        <w:t>Rhamna</w:t>
      </w:r>
      <w:proofErr w:type="spellEnd"/>
      <w:r w:rsidRPr="00E00DD4">
        <w:rPr>
          <w:rFonts w:cstheme="majorBidi"/>
          <w:sz w:val="24"/>
          <w:szCs w:val="24"/>
        </w:rPr>
        <w:t xml:space="preserve"> et El Youssoufia, le Secrétaire Général du Département de l’Agriculture a présidé le 20 juillet 2016 une réunion à laquelle ont pris part l’Office National de Sécurité Sanitaire des Produits Alimentaires (ONSSA), l’Agence pour le Développement Agricole (ADA), l’Office National du Conseil Agricole (ONCA), l’Institut National de la Recherche Agronomique (INRA),les Directions Régionales de l’Agriculture de Casablanca-Settat et de Marrakech-Safi, l’Office de Mise en Valeur Agricole de </w:t>
      </w:r>
      <w:proofErr w:type="spellStart"/>
      <w:r w:rsidRPr="00E00DD4">
        <w:rPr>
          <w:rFonts w:cstheme="majorBidi"/>
          <w:sz w:val="24"/>
          <w:szCs w:val="24"/>
        </w:rPr>
        <w:t>Doukkala</w:t>
      </w:r>
      <w:proofErr w:type="spellEnd"/>
      <w:r w:rsidRPr="00E00DD4">
        <w:rPr>
          <w:rFonts w:cstheme="majorBidi"/>
          <w:sz w:val="24"/>
          <w:szCs w:val="24"/>
        </w:rPr>
        <w:t xml:space="preserve"> ainsi que des experts en la matière, en vue d’arrêter un plan d’action d’urgence.</w:t>
      </w:r>
      <w:proofErr w:type="gramEnd"/>
      <w:r w:rsidRPr="00E00DD4">
        <w:rPr>
          <w:rFonts w:cstheme="majorBidi"/>
          <w:sz w:val="24"/>
          <w:szCs w:val="24"/>
        </w:rPr>
        <w:t xml:space="preserve"> </w:t>
      </w:r>
    </w:p>
    <w:p w:rsidR="00E00DD4" w:rsidRPr="00E00DD4" w:rsidRDefault="00E00DD4" w:rsidP="00E00DD4">
      <w:pPr>
        <w:spacing w:before="120" w:after="0" w:line="240" w:lineRule="auto"/>
        <w:jc w:val="both"/>
        <w:rPr>
          <w:rFonts w:cstheme="majorBidi"/>
          <w:sz w:val="24"/>
          <w:szCs w:val="24"/>
        </w:rPr>
      </w:pPr>
      <w:r w:rsidRPr="00E00DD4">
        <w:rPr>
          <w:rFonts w:cstheme="majorBidi"/>
          <w:sz w:val="24"/>
          <w:szCs w:val="24"/>
        </w:rPr>
        <w:t xml:space="preserve">Le plan d’intervention qui a déjà été lancé au niveau de la Province de Sidi Bennour, comprend </w:t>
      </w:r>
      <w:r w:rsidRPr="00E00DD4">
        <w:rPr>
          <w:rFonts w:cstheme="majorBidi"/>
          <w:b/>
          <w:bCs/>
          <w:sz w:val="24"/>
          <w:szCs w:val="24"/>
        </w:rPr>
        <w:t>(1)</w:t>
      </w:r>
      <w:r w:rsidRPr="00E00DD4">
        <w:rPr>
          <w:rFonts w:cstheme="majorBidi"/>
          <w:sz w:val="24"/>
          <w:szCs w:val="24"/>
        </w:rPr>
        <w:t xml:space="preserve"> l’arrachage et l’incinération des plantations de cactus fortement infestées, </w:t>
      </w:r>
      <w:r w:rsidRPr="00E00DD4">
        <w:rPr>
          <w:rFonts w:cstheme="majorBidi"/>
          <w:b/>
          <w:bCs/>
          <w:sz w:val="24"/>
          <w:szCs w:val="24"/>
        </w:rPr>
        <w:t>(2)</w:t>
      </w:r>
      <w:r w:rsidRPr="00E00DD4">
        <w:rPr>
          <w:rFonts w:cstheme="majorBidi" w:hint="cs"/>
          <w:sz w:val="24"/>
          <w:szCs w:val="24"/>
          <w:rtl/>
        </w:rPr>
        <w:t xml:space="preserve"> </w:t>
      </w:r>
      <w:r w:rsidRPr="00E00DD4">
        <w:rPr>
          <w:rFonts w:cstheme="majorBidi"/>
          <w:sz w:val="24"/>
          <w:szCs w:val="24"/>
        </w:rPr>
        <w:t xml:space="preserve">le traitement chimique à base d’insecticide et d’huile minérale sur environ 2000 hectares et </w:t>
      </w:r>
      <w:r w:rsidRPr="00E00DD4">
        <w:rPr>
          <w:rFonts w:cstheme="majorBidi"/>
          <w:b/>
          <w:bCs/>
          <w:sz w:val="24"/>
          <w:szCs w:val="24"/>
        </w:rPr>
        <w:t>(3)</w:t>
      </w:r>
      <w:r w:rsidRPr="00E00DD4">
        <w:rPr>
          <w:rFonts w:cstheme="majorBidi"/>
          <w:sz w:val="24"/>
          <w:szCs w:val="24"/>
        </w:rPr>
        <w:t xml:space="preserve"> la publication d’un arrêté interministériel en vue de l’application au niveau national des mesures phytosanitaires nécessaires pour limiter la dissémination du parasite ravageur.</w:t>
      </w:r>
    </w:p>
    <w:p w:rsidR="00E00DD4" w:rsidRPr="00E00DD4" w:rsidRDefault="00E00DD4" w:rsidP="00E00DD4">
      <w:pPr>
        <w:spacing w:before="120" w:after="0" w:line="240" w:lineRule="auto"/>
        <w:jc w:val="both"/>
        <w:rPr>
          <w:rFonts w:cstheme="majorBidi"/>
          <w:sz w:val="24"/>
          <w:szCs w:val="24"/>
        </w:rPr>
      </w:pPr>
      <w:r w:rsidRPr="00E00DD4">
        <w:rPr>
          <w:rFonts w:cstheme="majorBidi"/>
          <w:sz w:val="24"/>
          <w:szCs w:val="24"/>
        </w:rPr>
        <w:t>Les produits de traitement sont choisis par l’ONSSA sur la base d’essais expérimentaux pour s’assurer de leur innocuité et efficacité. De son côté, l’INRA entame un programme de recherche pour mettre au point des alternatives de lutte biologique et l’identification de variétés résistantes à ce parasite.</w:t>
      </w:r>
    </w:p>
    <w:p w:rsidR="00E00DD4" w:rsidRDefault="00E00DD4" w:rsidP="00E00DD4">
      <w:pPr>
        <w:spacing w:before="120" w:after="0" w:line="240" w:lineRule="auto"/>
        <w:jc w:val="both"/>
        <w:rPr>
          <w:rFonts w:cstheme="majorBidi"/>
          <w:sz w:val="24"/>
          <w:szCs w:val="24"/>
        </w:rPr>
      </w:pPr>
      <w:r w:rsidRPr="00E00DD4">
        <w:rPr>
          <w:rFonts w:cstheme="majorBidi"/>
          <w:b/>
          <w:sz w:val="24"/>
          <w:szCs w:val="24"/>
        </w:rPr>
        <w:t>C</w:t>
      </w:r>
      <w:r w:rsidRPr="00E00DD4">
        <w:rPr>
          <w:rFonts w:cstheme="majorBidi"/>
          <w:b/>
          <w:bCs/>
          <w:sz w:val="24"/>
          <w:szCs w:val="24"/>
        </w:rPr>
        <w:t>et insecte</w:t>
      </w:r>
      <w:r w:rsidRPr="00E00DD4">
        <w:rPr>
          <w:rFonts w:cstheme="majorBidi"/>
          <w:sz w:val="24"/>
          <w:szCs w:val="24"/>
        </w:rPr>
        <w:t xml:space="preserve"> est spécifique au cactus et ne s’attaque pas aux autres cultures. L’ONSSA rassure que l’utilisation des fruits et raquettes ne présente aucun risque ni pour la consommation humaine ni pour l’alimentation animale. L’écrasement de l’insecte dégage une substance colorante rouge très visible, appelée </w:t>
      </w:r>
      <w:r w:rsidRPr="00E00DD4">
        <w:rPr>
          <w:rFonts w:cstheme="majorBidi"/>
          <w:b/>
          <w:bCs/>
          <w:sz w:val="24"/>
          <w:szCs w:val="24"/>
        </w:rPr>
        <w:t>le carmin</w:t>
      </w:r>
      <w:r w:rsidRPr="00E00DD4">
        <w:rPr>
          <w:rFonts w:cstheme="majorBidi"/>
          <w:sz w:val="24"/>
          <w:szCs w:val="24"/>
        </w:rPr>
        <w:t>. Cette substance est utilisée comme colorant naturel dans l’industrie alimentaire, pharmaceutique et cosmétique par plusieurs pays, notamment en Amérique Latine.</w:t>
      </w:r>
    </w:p>
    <w:p w:rsidR="00E00DD4" w:rsidRDefault="00E00DD4" w:rsidP="00E00DD4">
      <w:pPr>
        <w:spacing w:before="120" w:after="0" w:line="240" w:lineRule="auto"/>
        <w:jc w:val="both"/>
        <w:rPr>
          <w:rFonts w:cstheme="majorBidi"/>
          <w:sz w:val="24"/>
          <w:szCs w:val="24"/>
        </w:rPr>
      </w:pPr>
    </w:p>
    <w:p w:rsidR="00E00DD4" w:rsidRDefault="00E00DD4" w:rsidP="00E00DD4">
      <w:pPr>
        <w:spacing w:before="120" w:after="0" w:line="240" w:lineRule="auto"/>
        <w:jc w:val="right"/>
        <w:rPr>
          <w:rFonts w:cstheme="majorBidi"/>
          <w:sz w:val="24"/>
          <w:szCs w:val="24"/>
        </w:rPr>
      </w:pPr>
    </w:p>
    <w:p w:rsidR="00E00DD4" w:rsidRPr="00E00DD4" w:rsidRDefault="00E00DD4" w:rsidP="00E00DD4">
      <w:pPr>
        <w:spacing w:before="120" w:after="0" w:line="240" w:lineRule="auto"/>
        <w:jc w:val="right"/>
        <w:rPr>
          <w:rFonts w:cstheme="majorBidi"/>
        </w:rPr>
      </w:pPr>
      <w:r w:rsidRPr="00E00DD4">
        <w:rPr>
          <w:rFonts w:cstheme="majorBidi"/>
        </w:rPr>
        <w:t>1/1</w:t>
      </w:r>
    </w:p>
    <w:p w:rsidR="00E00DD4" w:rsidRPr="00E00DD4" w:rsidRDefault="00E00DD4" w:rsidP="00E00DD4">
      <w:pPr>
        <w:spacing w:before="120" w:after="0" w:line="240" w:lineRule="auto"/>
        <w:jc w:val="both"/>
        <w:rPr>
          <w:rFonts w:cstheme="majorBidi"/>
          <w:sz w:val="24"/>
          <w:szCs w:val="24"/>
        </w:rPr>
      </w:pPr>
    </w:p>
    <w:p w:rsidR="00C3096A" w:rsidRDefault="00E00DD4" w:rsidP="00E00DD4">
      <w:pPr>
        <w:spacing w:after="0" w:line="240" w:lineRule="auto"/>
        <w:jc w:val="both"/>
        <w:rPr>
          <w:rFonts w:cstheme="majorBidi"/>
          <w:noProof/>
          <w:sz w:val="28"/>
          <w:szCs w:val="28"/>
        </w:rPr>
      </w:pPr>
      <w:r>
        <w:rPr>
          <w:noProof/>
        </w:rPr>
        <w:lastRenderedPageBreak/>
        <w:drawing>
          <wp:inline distT="0" distB="0" distL="0" distR="0" wp14:anchorId="7AB5B3A0" wp14:editId="27B8F664">
            <wp:extent cx="2737658" cy="1981200"/>
            <wp:effectExtent l="0" t="0" r="5715" b="0"/>
            <wp:docPr id="11" name="Image 1" descr="C:\BEER\Expérimentation\Expo 2012\Situation\Rapp essais 2016\infestation init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 descr="C:\BEER\Expérimentation\Expo 2012\Situation\Rapp essais 2016\infestation initia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4968" cy="1986490"/>
                    </a:xfrm>
                    <a:prstGeom prst="rect">
                      <a:avLst/>
                    </a:prstGeom>
                    <a:noFill/>
                    <a:ln>
                      <a:noFill/>
                    </a:ln>
                    <a:extLst/>
                  </pic:spPr>
                </pic:pic>
              </a:graphicData>
            </a:graphic>
          </wp:inline>
        </w:drawing>
      </w:r>
      <w:r>
        <w:rPr>
          <w:rFonts w:cstheme="majorBidi"/>
          <w:noProof/>
          <w:sz w:val="28"/>
          <w:szCs w:val="28"/>
        </w:rPr>
        <w:t xml:space="preserve">  </w:t>
      </w:r>
    </w:p>
    <w:p w:rsidR="00C3096A" w:rsidRDefault="00C3096A" w:rsidP="00E00DD4">
      <w:pPr>
        <w:spacing w:after="0" w:line="240" w:lineRule="auto"/>
        <w:jc w:val="both"/>
        <w:rPr>
          <w:rFonts w:cstheme="majorBidi"/>
          <w:noProof/>
          <w:sz w:val="28"/>
          <w:szCs w:val="28"/>
        </w:rPr>
      </w:pPr>
      <w:bookmarkStart w:id="0" w:name="_GoBack"/>
      <w:bookmarkEnd w:id="0"/>
    </w:p>
    <w:p w:rsidR="00C3096A" w:rsidRDefault="00C3096A" w:rsidP="00E00DD4">
      <w:pPr>
        <w:spacing w:after="0" w:line="240" w:lineRule="auto"/>
        <w:jc w:val="both"/>
        <w:rPr>
          <w:rFonts w:cstheme="majorBidi"/>
          <w:noProof/>
          <w:sz w:val="28"/>
          <w:szCs w:val="28"/>
        </w:rPr>
      </w:pPr>
    </w:p>
    <w:p w:rsidR="00E00DD4" w:rsidRDefault="00E00DD4" w:rsidP="00E00DD4">
      <w:pPr>
        <w:spacing w:after="0" w:line="240" w:lineRule="auto"/>
        <w:jc w:val="both"/>
        <w:rPr>
          <w:rFonts w:cstheme="majorBidi"/>
          <w:sz w:val="28"/>
          <w:szCs w:val="28"/>
        </w:rPr>
      </w:pPr>
      <w:r w:rsidRPr="00DF1737">
        <w:rPr>
          <w:rFonts w:cstheme="majorBidi"/>
          <w:noProof/>
          <w:sz w:val="28"/>
          <w:szCs w:val="28"/>
        </w:rPr>
        <w:drawing>
          <wp:inline distT="0" distB="0" distL="0" distR="0" wp14:anchorId="7DD11824" wp14:editId="599817A9">
            <wp:extent cx="2724150" cy="2066925"/>
            <wp:effectExtent l="0" t="0" r="0" b="9525"/>
            <wp:docPr id="1" name="Image 1" descr="https://encrypted-tbn2.gstatic.com/images?q=tbn:ANd9GcS083DD5SnDwvilQTfxIfMUImPJqxnygXEf8o2IeBDSN4Zp5WYv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083DD5SnDwvilQTfxIfMUImPJqxnygXEf8o2IeBDSN4Zp5WYvw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066925"/>
                    </a:xfrm>
                    <a:prstGeom prst="rect">
                      <a:avLst/>
                    </a:prstGeom>
                    <a:noFill/>
                    <a:ln>
                      <a:noFill/>
                    </a:ln>
                  </pic:spPr>
                </pic:pic>
              </a:graphicData>
            </a:graphic>
          </wp:inline>
        </w:drawing>
      </w:r>
    </w:p>
    <w:p w:rsidR="00D47087" w:rsidRPr="000F44E6" w:rsidRDefault="00D47087" w:rsidP="000F44E6">
      <w:pPr>
        <w:jc w:val="both"/>
        <w:rPr>
          <w:sz w:val="26"/>
          <w:szCs w:val="26"/>
        </w:rPr>
      </w:pPr>
    </w:p>
    <w:sectPr w:rsidR="00D47087" w:rsidRPr="000F44E6" w:rsidSect="007C02C5">
      <w:headerReference w:type="default" r:id="rId8"/>
      <w:footerReference w:type="default" r:id="rId9"/>
      <w:pgSz w:w="11906" w:h="16838"/>
      <w:pgMar w:top="568" w:right="1800" w:bottom="1440" w:left="180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7AE" w:rsidRDefault="00FB07AE" w:rsidP="00D8355E">
      <w:pPr>
        <w:spacing w:after="0" w:line="240" w:lineRule="auto"/>
      </w:pPr>
      <w:r>
        <w:separator/>
      </w:r>
    </w:p>
  </w:endnote>
  <w:endnote w:type="continuationSeparator" w:id="0">
    <w:p w:rsidR="00FB07AE" w:rsidRDefault="00FB07AE" w:rsidP="00D8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yuthaya">
    <w:charset w:val="00"/>
    <w:family w:val="auto"/>
    <w:pitch w:val="variable"/>
    <w:sig w:usb0="A100026F" w:usb1="00000000" w:usb2="00000000" w:usb3="00000000" w:csb0="0001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915"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977"/>
      <w:gridCol w:w="2835"/>
      <w:gridCol w:w="2976"/>
      <w:gridCol w:w="851"/>
    </w:tblGrid>
    <w:tr w:rsidR="00E96F26" w:rsidTr="005B05B8">
      <w:trPr>
        <w:trHeight w:val="271"/>
      </w:trPr>
      <w:tc>
        <w:tcPr>
          <w:tcW w:w="1276" w:type="dxa"/>
          <w:vMerge w:val="restart"/>
        </w:tcPr>
        <w:p w:rsidR="00E96F26" w:rsidRDefault="005B05B8" w:rsidP="00465327">
          <w:pPr>
            <w:jc w:val="right"/>
            <w:rPr>
              <w:noProof/>
              <w:lang w:eastAsia="fr-FR"/>
            </w:rPr>
          </w:pPr>
          <w:r w:rsidRPr="006D0BBC">
            <w:rPr>
              <w:noProof/>
              <w:lang w:eastAsia="fr-FR"/>
            </w:rPr>
            <w:drawing>
              <wp:inline distT="0" distB="0" distL="0" distR="0">
                <wp:extent cx="485775" cy="485775"/>
                <wp:effectExtent l="19050" t="0" r="9525"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pic:cNvPicPr>
                          <a:picLocks noChangeAspect="1" noChangeArrowheads="1"/>
                        </pic:cNvPicPr>
                      </pic:nvPicPr>
                      <pic:blipFill>
                        <a:blip r:embed="rId1" cstate="print"/>
                        <a:srcRect/>
                        <a:stretch>
                          <a:fillRect/>
                        </a:stretch>
                      </pic:blipFill>
                      <pic:spPr bwMode="auto">
                        <a:xfrm>
                          <a:off x="0" y="0"/>
                          <a:ext cx="485798" cy="485798"/>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p w:rsidR="00E96F26" w:rsidRDefault="00E96F26" w:rsidP="00465327">
          <w:pPr>
            <w:ind w:left="-392"/>
            <w:jc w:val="right"/>
          </w:pPr>
        </w:p>
      </w:tc>
      <w:tc>
        <w:tcPr>
          <w:tcW w:w="2977" w:type="dxa"/>
          <w:tcBorders>
            <w:bottom w:val="single" w:sz="4" w:space="0" w:color="008000"/>
          </w:tcBorders>
        </w:tcPr>
        <w:p w:rsidR="00E96F26" w:rsidRPr="003A5EBE" w:rsidRDefault="00E96F26" w:rsidP="00465327">
          <w:pPr>
            <w:pStyle w:val="Pieddepage"/>
            <w:rPr>
              <w:b/>
              <w:bCs/>
              <w:smallCaps/>
              <w:color w:val="000000" w:themeColor="text1"/>
              <w:sz w:val="20"/>
              <w:szCs w:val="20"/>
            </w:rPr>
          </w:pPr>
          <w:r w:rsidRPr="003A5EBE">
            <w:rPr>
              <w:b/>
              <w:bCs/>
              <w:smallCaps/>
              <w:color w:val="000000" w:themeColor="text1"/>
              <w:sz w:val="20"/>
              <w:szCs w:val="20"/>
            </w:rPr>
            <w:t>La Division de la Communication</w:t>
          </w:r>
        </w:p>
      </w:tc>
      <w:tc>
        <w:tcPr>
          <w:tcW w:w="2835" w:type="dxa"/>
          <w:tcBorders>
            <w:bottom w:val="single" w:sz="4" w:space="0" w:color="008000"/>
          </w:tcBorders>
        </w:tcPr>
        <w:p w:rsidR="00E96F26" w:rsidRPr="004A6C66" w:rsidRDefault="00E96F26" w:rsidP="00465327">
          <w:pPr>
            <w:pStyle w:val="Pieddepage"/>
            <w:ind w:left="318"/>
            <w:rPr>
              <w:b/>
              <w:bCs/>
              <w:smallCaps/>
              <w:color w:val="000000" w:themeColor="text1"/>
              <w:sz w:val="24"/>
              <w:szCs w:val="24"/>
            </w:rPr>
          </w:pPr>
        </w:p>
      </w:tc>
      <w:tc>
        <w:tcPr>
          <w:tcW w:w="2976" w:type="dxa"/>
          <w:tcBorders>
            <w:bottom w:val="single" w:sz="4" w:space="0" w:color="008000"/>
          </w:tcBorders>
        </w:tcPr>
        <w:p w:rsidR="00E96F26" w:rsidRPr="004A6C66" w:rsidRDefault="00E96F26" w:rsidP="005B05B8">
          <w:pPr>
            <w:pStyle w:val="Pieddepage"/>
            <w:bidi/>
            <w:ind w:left="459" w:hanging="459"/>
            <w:rPr>
              <w:b/>
              <w:bCs/>
              <w:color w:val="000000" w:themeColor="text1"/>
              <w:sz w:val="24"/>
              <w:szCs w:val="24"/>
              <w:lang w:bidi="ar-MA"/>
            </w:rPr>
          </w:pPr>
          <w:r>
            <w:rPr>
              <w:rFonts w:hint="cs"/>
              <w:b/>
              <w:bCs/>
              <w:color w:val="000000" w:themeColor="text1"/>
              <w:sz w:val="24"/>
              <w:szCs w:val="24"/>
              <w:rtl/>
              <w:lang w:bidi="ar-MA"/>
            </w:rPr>
            <w:t>قسم التواصل</w:t>
          </w:r>
        </w:p>
      </w:tc>
      <w:tc>
        <w:tcPr>
          <w:tcW w:w="851" w:type="dxa"/>
          <w:vMerge w:val="restart"/>
        </w:tcPr>
        <w:p w:rsidR="00E96F26" w:rsidRPr="00535121" w:rsidRDefault="005B05B8" w:rsidP="00465327">
          <w:pPr>
            <w:pStyle w:val="Pieddepage"/>
            <w:bidi/>
            <w:rPr>
              <w:b/>
              <w:bCs/>
              <w:color w:val="000000" w:themeColor="text1"/>
              <w:sz w:val="20"/>
              <w:szCs w:val="20"/>
              <w:lang w:bidi="ar-MA"/>
            </w:rPr>
          </w:pPr>
          <w:r w:rsidRPr="00365C43">
            <w:rPr>
              <w:noProof/>
              <w:sz w:val="20"/>
              <w:szCs w:val="20"/>
              <w:lang w:eastAsia="fr-FR"/>
            </w:rPr>
            <w:drawing>
              <wp:inline distT="0" distB="0" distL="0" distR="0">
                <wp:extent cx="400050" cy="390525"/>
                <wp:effectExtent l="19050" t="0" r="0" b="0"/>
                <wp:docPr id="6" name="Image 1" descr="MPM_ar"/>
                <wp:cNvGraphicFramePr/>
                <a:graphic xmlns:a="http://schemas.openxmlformats.org/drawingml/2006/main">
                  <a:graphicData uri="http://schemas.openxmlformats.org/drawingml/2006/picture">
                    <pic:pic xmlns:pic="http://schemas.openxmlformats.org/drawingml/2006/picture">
                      <pic:nvPicPr>
                        <pic:cNvPr id="8" name="Picture 9" descr="MPM_ar"/>
                        <pic:cNvPicPr>
                          <a:picLocks noChangeAspect="1" noChangeArrowheads="1"/>
                        </pic:cNvPicPr>
                      </pic:nvPicPr>
                      <pic:blipFill>
                        <a:blip r:embed="rId2"/>
                        <a:srcRect l="19153" t="18617" r="15594" b="35532"/>
                        <a:stretch>
                          <a:fillRect/>
                        </a:stretch>
                      </pic:blipFill>
                      <pic:spPr bwMode="auto">
                        <a:xfrm>
                          <a:off x="0" y="0"/>
                          <a:ext cx="403972" cy="394354"/>
                        </a:xfrm>
                        <a:prstGeom prst="rect">
                          <a:avLst/>
                        </a:prstGeom>
                        <a:noFill/>
                        <a:ln w="9525">
                          <a:noFill/>
                          <a:miter lim="800000"/>
                          <a:headEnd/>
                          <a:tailEnd/>
                        </a:ln>
                      </pic:spPr>
                    </pic:pic>
                  </a:graphicData>
                </a:graphic>
              </wp:inline>
            </w:drawing>
          </w:r>
        </w:p>
        <w:p w:rsidR="00E96F26" w:rsidRPr="00535121" w:rsidRDefault="00E96F26" w:rsidP="00465327">
          <w:pPr>
            <w:pStyle w:val="Pieddepage"/>
            <w:bidi/>
            <w:rPr>
              <w:b/>
              <w:bCs/>
              <w:color w:val="000000" w:themeColor="text1"/>
              <w:sz w:val="20"/>
              <w:szCs w:val="20"/>
              <w:lang w:bidi="ar-MA"/>
            </w:rPr>
          </w:pPr>
        </w:p>
        <w:p w:rsidR="00E96F26" w:rsidRPr="00535121" w:rsidRDefault="00E96F26" w:rsidP="00465327">
          <w:pPr>
            <w:ind w:left="-108" w:hanging="141"/>
            <w:jc w:val="right"/>
            <w:rPr>
              <w:b/>
              <w:bCs/>
              <w:color w:val="000000" w:themeColor="text1"/>
              <w:sz w:val="20"/>
              <w:szCs w:val="20"/>
              <w:rtl/>
              <w:lang w:bidi="ar-MA"/>
            </w:rPr>
          </w:pPr>
        </w:p>
      </w:tc>
    </w:tr>
    <w:tr w:rsidR="00E96F26" w:rsidTr="005B05B8">
      <w:tc>
        <w:tcPr>
          <w:tcW w:w="1276" w:type="dxa"/>
          <w:vMerge/>
        </w:tcPr>
        <w:p w:rsidR="00E96F26" w:rsidRDefault="00E96F26" w:rsidP="00465327">
          <w:pPr>
            <w:jc w:val="right"/>
          </w:pPr>
        </w:p>
      </w:tc>
      <w:tc>
        <w:tcPr>
          <w:tcW w:w="2977" w:type="dxa"/>
          <w:tcBorders>
            <w:top w:val="single" w:sz="4" w:space="0" w:color="008000"/>
          </w:tcBorders>
        </w:tcPr>
        <w:p w:rsidR="00E96F26" w:rsidRPr="004A6C66" w:rsidRDefault="00E96F26" w:rsidP="005B05B8">
          <w:pPr>
            <w:spacing w:after="0"/>
            <w:rPr>
              <w:color w:val="000000" w:themeColor="text1"/>
              <w:sz w:val="18"/>
              <w:szCs w:val="20"/>
            </w:rPr>
          </w:pPr>
          <w:r w:rsidRPr="00535121">
            <w:rPr>
              <w:color w:val="000000" w:themeColor="text1"/>
              <w:sz w:val="20"/>
              <w:szCs w:val="20"/>
            </w:rPr>
            <w:t>B</w:t>
          </w:r>
          <w:r w:rsidRPr="004A6C66">
            <w:rPr>
              <w:color w:val="000000" w:themeColor="text1"/>
              <w:sz w:val="18"/>
              <w:szCs w:val="20"/>
            </w:rPr>
            <w:t xml:space="preserve">.P : 607 – </w:t>
          </w:r>
          <w:proofErr w:type="spellStart"/>
          <w:r w:rsidRPr="004A6C66">
            <w:rPr>
              <w:color w:val="000000" w:themeColor="text1"/>
              <w:sz w:val="18"/>
              <w:szCs w:val="20"/>
            </w:rPr>
            <w:t>Chellah</w:t>
          </w:r>
          <w:proofErr w:type="spellEnd"/>
          <w:r w:rsidRPr="004A6C66">
            <w:rPr>
              <w:color w:val="000000" w:themeColor="text1"/>
              <w:sz w:val="18"/>
              <w:szCs w:val="20"/>
            </w:rPr>
            <w:t xml:space="preserve"> – Rabat</w:t>
          </w:r>
        </w:p>
        <w:p w:rsidR="00E96F26" w:rsidRPr="004A6C66" w:rsidRDefault="00E96F26" w:rsidP="003B7CDA">
          <w:pPr>
            <w:spacing w:after="0"/>
            <w:ind w:right="-108"/>
            <w:rPr>
              <w:color w:val="000000" w:themeColor="text1"/>
              <w:sz w:val="18"/>
              <w:szCs w:val="20"/>
            </w:rPr>
          </w:pPr>
          <w:r w:rsidRPr="004A6C66">
            <w:rPr>
              <w:color w:val="000000" w:themeColor="text1"/>
              <w:sz w:val="18"/>
              <w:szCs w:val="20"/>
            </w:rPr>
            <w:t xml:space="preserve">Tél : 0537 66 </w:t>
          </w:r>
          <w:r w:rsidR="003B7CDA">
            <w:rPr>
              <w:color w:val="000000" w:themeColor="text1"/>
              <w:sz w:val="18"/>
              <w:szCs w:val="20"/>
            </w:rPr>
            <w:t>54 99</w:t>
          </w:r>
          <w:r w:rsidRPr="004A6C66">
            <w:rPr>
              <w:color w:val="000000" w:themeColor="text1"/>
              <w:sz w:val="18"/>
              <w:szCs w:val="20"/>
            </w:rPr>
            <w:t xml:space="preserve">  </w:t>
          </w:r>
        </w:p>
        <w:p w:rsidR="00E96F26" w:rsidRPr="00893BA3" w:rsidRDefault="00E96F26" w:rsidP="005B05B8">
          <w:pPr>
            <w:spacing w:after="0"/>
            <w:ind w:right="-108"/>
            <w:rPr>
              <w:color w:val="000000" w:themeColor="text1"/>
              <w:sz w:val="20"/>
              <w:szCs w:val="20"/>
            </w:rPr>
          </w:pPr>
          <w:r>
            <w:rPr>
              <w:color w:val="000000" w:themeColor="text1"/>
              <w:sz w:val="18"/>
              <w:szCs w:val="20"/>
            </w:rPr>
            <w:t>Fax : 0537 76</w:t>
          </w:r>
          <w:r w:rsidR="003A5EBE">
            <w:rPr>
              <w:color w:val="000000" w:themeColor="text1"/>
              <w:sz w:val="18"/>
              <w:szCs w:val="20"/>
            </w:rPr>
            <w:t xml:space="preserve"> </w:t>
          </w:r>
          <w:r>
            <w:rPr>
              <w:color w:val="000000" w:themeColor="text1"/>
              <w:sz w:val="18"/>
              <w:szCs w:val="20"/>
            </w:rPr>
            <w:t>67</w:t>
          </w:r>
          <w:r w:rsidR="003A5EBE">
            <w:rPr>
              <w:color w:val="000000" w:themeColor="text1"/>
              <w:sz w:val="18"/>
              <w:szCs w:val="20"/>
            </w:rPr>
            <w:t xml:space="preserve"> </w:t>
          </w:r>
          <w:r>
            <w:rPr>
              <w:color w:val="000000" w:themeColor="text1"/>
              <w:sz w:val="18"/>
              <w:szCs w:val="20"/>
            </w:rPr>
            <w:t>40</w:t>
          </w:r>
          <w:r w:rsidRPr="004A6C66">
            <w:rPr>
              <w:color w:val="000000" w:themeColor="text1"/>
              <w:sz w:val="18"/>
              <w:szCs w:val="20"/>
            </w:rPr>
            <w:t xml:space="preserve">                                           </w:t>
          </w:r>
        </w:p>
      </w:tc>
      <w:tc>
        <w:tcPr>
          <w:tcW w:w="2835" w:type="dxa"/>
          <w:tcBorders>
            <w:top w:val="single" w:sz="4" w:space="0" w:color="008000"/>
          </w:tcBorders>
        </w:tcPr>
        <w:p w:rsidR="00E96F26" w:rsidRPr="002D4A52" w:rsidRDefault="00E96F26" w:rsidP="000658F9">
          <w:pPr>
            <w:spacing w:after="0"/>
            <w:ind w:right="-108"/>
            <w:jc w:val="center"/>
            <w:rPr>
              <w:rFonts w:ascii="Cambria" w:hAnsi="Cambria" w:cs="Ayuthaya"/>
              <w:b/>
              <w:i/>
              <w:color w:val="008000"/>
              <w:sz w:val="20"/>
              <w:szCs w:val="20"/>
            </w:rPr>
          </w:pPr>
          <w:r w:rsidRPr="002D4A52">
            <w:rPr>
              <w:rFonts w:ascii="Cambria" w:hAnsi="Cambria" w:cs="Ayuthaya"/>
              <w:b/>
              <w:i/>
              <w:color w:val="008000"/>
              <w:sz w:val="20"/>
              <w:szCs w:val="20"/>
            </w:rPr>
            <w:t>Centre d’Information  - MAPM</w:t>
          </w:r>
        </w:p>
        <w:p w:rsidR="00E96F26" w:rsidRPr="00893BA3" w:rsidRDefault="00E96F26" w:rsidP="000658F9">
          <w:pPr>
            <w:pStyle w:val="Pieddepage"/>
            <w:jc w:val="center"/>
            <w:rPr>
              <w:rFonts w:ascii="Tahoma" w:hAnsi="Tahoma" w:cs="Tahoma"/>
              <w:color w:val="384049"/>
              <w:sz w:val="16"/>
              <w:u w:color="384049"/>
            </w:rPr>
          </w:pPr>
          <w:r>
            <w:rPr>
              <w:rFonts w:ascii="Tahoma" w:hAnsi="Tahoma" w:cs="Tahoma"/>
              <w:b/>
              <w:bCs/>
              <w:i/>
              <w:color w:val="008000"/>
              <w:sz w:val="20"/>
              <w:u w:color="384049"/>
            </w:rPr>
            <w:sym w:font="Wingdings" w:char="F028"/>
          </w:r>
          <w:r w:rsidRPr="002D4A52">
            <w:rPr>
              <w:rFonts w:ascii="Tahoma" w:hAnsi="Tahoma" w:cs="Tahoma"/>
              <w:b/>
              <w:bCs/>
              <w:i/>
              <w:color w:val="008000"/>
              <w:sz w:val="20"/>
              <w:u w:color="384049"/>
            </w:rPr>
            <w:t>08 020 020 50</w:t>
          </w:r>
          <w:r w:rsidRPr="002D4A52">
            <w:rPr>
              <w:rFonts w:ascii="MS UI Gothic" w:eastAsia="MS UI Gothic" w:hAnsi="MS UI Gothic" w:cs="MS UI Gothic" w:hint="eastAsia"/>
              <w:i/>
              <w:color w:val="384049"/>
              <w:sz w:val="16"/>
              <w:u w:color="384049"/>
            </w:rPr>
            <w:t> </w:t>
          </w:r>
          <w:r w:rsidRPr="002D4A52">
            <w:rPr>
              <w:rFonts w:ascii="MS UI Gothic" w:eastAsia="MS UI Gothic" w:hAnsi="MS UI Gothic" w:cs="MS UI Gothic" w:hint="eastAsia"/>
              <w:color w:val="384049"/>
              <w:sz w:val="16"/>
              <w:u w:color="384049"/>
            </w:rPr>
            <w:t> </w:t>
          </w:r>
          <w:r w:rsidRPr="00893BA3">
            <w:rPr>
              <w:rFonts w:ascii="MS UI Gothic" w:eastAsia="MS UI Gothic" w:hAnsi="MS UI Gothic" w:cs="MS UI Gothic" w:hint="eastAsia"/>
              <w:color w:val="384049"/>
              <w:sz w:val="16"/>
              <w:u w:color="384049"/>
            </w:rPr>
            <w:t> </w:t>
          </w:r>
        </w:p>
      </w:tc>
      <w:tc>
        <w:tcPr>
          <w:tcW w:w="2976" w:type="dxa"/>
          <w:tcBorders>
            <w:top w:val="single" w:sz="4" w:space="0" w:color="008000"/>
          </w:tcBorders>
        </w:tcPr>
        <w:p w:rsidR="00E96F26" w:rsidRPr="004A6C66" w:rsidRDefault="00E96F26" w:rsidP="005B05B8">
          <w:pPr>
            <w:pStyle w:val="Pieddepage"/>
            <w:bidi/>
            <w:ind w:left="459" w:hanging="459"/>
            <w:rPr>
              <w:color w:val="000000" w:themeColor="text1"/>
              <w:sz w:val="18"/>
              <w:szCs w:val="20"/>
              <w:lang w:bidi="ar-MA"/>
            </w:rPr>
          </w:pPr>
          <w:r w:rsidRPr="004A6C66">
            <w:rPr>
              <w:rFonts w:hint="cs"/>
              <w:color w:val="000000" w:themeColor="text1"/>
              <w:sz w:val="18"/>
              <w:szCs w:val="20"/>
              <w:rtl/>
              <w:lang w:bidi="ar-MA"/>
            </w:rPr>
            <w:t>صندوق البريد : 607 شالة  - الرباط</w:t>
          </w:r>
        </w:p>
        <w:p w:rsidR="00E96F26" w:rsidRPr="004A6C66" w:rsidRDefault="00E96F26" w:rsidP="003B7CDA">
          <w:pPr>
            <w:spacing w:after="0"/>
            <w:ind w:left="459" w:hanging="459"/>
            <w:jc w:val="right"/>
            <w:rPr>
              <w:color w:val="000000" w:themeColor="text1"/>
              <w:sz w:val="18"/>
              <w:szCs w:val="20"/>
              <w:lang w:bidi="ar-MA"/>
            </w:rPr>
          </w:pPr>
          <w:r>
            <w:rPr>
              <w:color w:val="000000" w:themeColor="text1"/>
              <w:sz w:val="18"/>
              <w:szCs w:val="20"/>
              <w:lang w:bidi="ar-MA"/>
            </w:rPr>
            <w:t>0537 66</w:t>
          </w:r>
          <w:r w:rsidR="003A5EBE">
            <w:rPr>
              <w:color w:val="000000" w:themeColor="text1"/>
              <w:sz w:val="18"/>
              <w:szCs w:val="20"/>
              <w:lang w:bidi="ar-MA"/>
            </w:rPr>
            <w:t xml:space="preserve"> </w:t>
          </w:r>
          <w:r w:rsidR="003B7CDA">
            <w:rPr>
              <w:color w:val="000000" w:themeColor="text1"/>
              <w:sz w:val="18"/>
              <w:szCs w:val="20"/>
              <w:lang w:bidi="ar-MA"/>
            </w:rPr>
            <w:t>54 99</w:t>
          </w:r>
          <w:r>
            <w:rPr>
              <w:color w:val="000000" w:themeColor="text1"/>
              <w:sz w:val="18"/>
              <w:szCs w:val="20"/>
              <w:lang w:bidi="ar-MA"/>
            </w:rPr>
            <w:t xml:space="preserve"> </w:t>
          </w:r>
          <w:r>
            <w:rPr>
              <w:rFonts w:hint="cs"/>
              <w:color w:val="000000" w:themeColor="text1"/>
              <w:sz w:val="18"/>
              <w:szCs w:val="20"/>
              <w:rtl/>
              <w:lang w:bidi="ar-MA"/>
            </w:rPr>
            <w:t>الهاتف :</w:t>
          </w:r>
        </w:p>
        <w:p w:rsidR="00E96F26" w:rsidRPr="00535121" w:rsidRDefault="00E96F26" w:rsidP="005B05B8">
          <w:pPr>
            <w:spacing w:after="0"/>
            <w:ind w:left="459" w:hanging="459"/>
            <w:jc w:val="right"/>
            <w:rPr>
              <w:sz w:val="20"/>
              <w:szCs w:val="20"/>
            </w:rPr>
          </w:pPr>
          <w:r>
            <w:rPr>
              <w:rFonts w:hint="cs"/>
              <w:color w:val="000000" w:themeColor="text1"/>
              <w:sz w:val="18"/>
              <w:szCs w:val="20"/>
              <w:rtl/>
              <w:lang w:bidi="ar-MA"/>
            </w:rPr>
            <w:t>الفاكس : 40-67</w:t>
          </w:r>
          <w:r w:rsidRPr="004A6C66">
            <w:rPr>
              <w:rFonts w:hint="cs"/>
              <w:color w:val="000000" w:themeColor="text1"/>
              <w:sz w:val="18"/>
              <w:szCs w:val="20"/>
              <w:rtl/>
              <w:lang w:bidi="ar-MA"/>
            </w:rPr>
            <w:t xml:space="preserve"> 76-0537</w:t>
          </w:r>
        </w:p>
      </w:tc>
      <w:tc>
        <w:tcPr>
          <w:tcW w:w="851" w:type="dxa"/>
          <w:vMerge/>
        </w:tcPr>
        <w:p w:rsidR="00E96F26" w:rsidRPr="00535121" w:rsidRDefault="00E96F26" w:rsidP="00465327">
          <w:pPr>
            <w:ind w:left="-108" w:hanging="141"/>
            <w:jc w:val="right"/>
            <w:rPr>
              <w:sz w:val="20"/>
              <w:szCs w:val="20"/>
            </w:rPr>
          </w:pPr>
        </w:p>
      </w:tc>
    </w:tr>
  </w:tbl>
  <w:p w:rsidR="00E96F26" w:rsidRDefault="00E96F26" w:rsidP="00E96F26">
    <w:pPr>
      <w:pStyle w:val="Pieddepage"/>
    </w:pPr>
  </w:p>
  <w:p w:rsidR="00D8355E" w:rsidRPr="00E96F26" w:rsidRDefault="00D8355E" w:rsidP="00E96F26">
    <w:pPr>
      <w:pStyle w:val="Pieddepage"/>
      <w:ind w:left="-426" w:hanging="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7AE" w:rsidRDefault="00FB07AE" w:rsidP="00D8355E">
      <w:pPr>
        <w:spacing w:after="0" w:line="240" w:lineRule="auto"/>
      </w:pPr>
      <w:r>
        <w:separator/>
      </w:r>
    </w:p>
  </w:footnote>
  <w:footnote w:type="continuationSeparator" w:id="0">
    <w:p w:rsidR="00FB07AE" w:rsidRDefault="00FB07AE" w:rsidP="00D83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01" w:rsidRDefault="00E93701" w:rsidP="00825E92">
    <w:pPr>
      <w:spacing w:after="0" w:line="240" w:lineRule="auto"/>
      <w:jc w:val="center"/>
      <w:rPr>
        <w:rFonts w:cs="Andalus"/>
        <w:noProof/>
        <w:color w:val="548DD4" w:themeColor="text2" w:themeTint="99"/>
        <w:sz w:val="24"/>
        <w:szCs w:val="24"/>
        <w:lang w:eastAsia="fr-FR" w:bidi="ar-MA"/>
      </w:rPr>
    </w:pPr>
  </w:p>
  <w:p w:rsidR="005A148A" w:rsidRPr="00D127B5" w:rsidRDefault="002420D7" w:rsidP="00825E92">
    <w:pPr>
      <w:spacing w:after="0" w:line="240" w:lineRule="auto"/>
      <w:jc w:val="center"/>
      <w:rPr>
        <w:rFonts w:cs="Andalus"/>
        <w:noProof/>
        <w:color w:val="548DD4" w:themeColor="text2" w:themeTint="99"/>
        <w:sz w:val="24"/>
        <w:szCs w:val="24"/>
        <w:rtl/>
        <w:lang w:eastAsia="fr-FR" w:bidi="ar-MA"/>
      </w:rPr>
    </w:pPr>
    <w:r w:rsidRPr="00D127B5">
      <w:rPr>
        <w:rFonts w:cs="Andalus" w:hint="cs"/>
        <w:noProof/>
        <w:color w:val="548DD4" w:themeColor="text2" w:themeTint="99"/>
        <w:sz w:val="24"/>
        <w:szCs w:val="24"/>
        <w:rtl/>
        <w:lang w:eastAsia="fr-FR" w:bidi="ar-MA"/>
      </w:rPr>
      <w:t>المملكة المغربية</w:t>
    </w:r>
  </w:p>
  <w:p w:rsidR="005A148A" w:rsidRPr="00D127B5" w:rsidRDefault="002420D7" w:rsidP="00825E92">
    <w:pPr>
      <w:spacing w:after="0" w:line="240" w:lineRule="auto"/>
      <w:jc w:val="center"/>
      <w:rPr>
        <w:rFonts w:asciiTheme="minorBidi" w:hAnsiTheme="minorBidi"/>
        <w:noProof/>
        <w:color w:val="548DD4" w:themeColor="text2" w:themeTint="99"/>
        <w:lang w:eastAsia="fr-FR" w:bidi="ar-MA"/>
      </w:rPr>
    </w:pPr>
    <w:r w:rsidRPr="00D127B5">
      <w:rPr>
        <w:rFonts w:asciiTheme="minorBidi" w:hAnsiTheme="minorBidi"/>
        <w:noProof/>
        <w:color w:val="548DD4" w:themeColor="text2" w:themeTint="99"/>
        <w:lang w:eastAsia="fr-FR" w:bidi="ar-MA"/>
      </w:rPr>
      <w:t>Royaume du Maroc</w:t>
    </w:r>
  </w:p>
  <w:p w:rsidR="005A148A" w:rsidRDefault="00AD2C09" w:rsidP="00AD2C09">
    <w:pPr>
      <w:tabs>
        <w:tab w:val="left" w:pos="1640"/>
        <w:tab w:val="center" w:pos="4153"/>
      </w:tabs>
      <w:spacing w:after="0" w:line="240" w:lineRule="auto"/>
      <w:rPr>
        <w:noProof/>
        <w:lang w:eastAsia="fr-FR"/>
      </w:rPr>
    </w:pPr>
    <w:r>
      <w:rPr>
        <w:noProof/>
        <w:lang w:eastAsia="fr-FR"/>
      </w:rPr>
      <w:tab/>
    </w:r>
    <w:r>
      <w:rPr>
        <w:noProof/>
        <w:lang w:eastAsia="fr-FR"/>
      </w:rPr>
      <w:tab/>
    </w:r>
    <w:r w:rsidR="002420D7" w:rsidRPr="00365C43">
      <w:rPr>
        <w:noProof/>
        <w:lang w:eastAsia="fr-FR"/>
      </w:rPr>
      <w:drawing>
        <wp:inline distT="0" distB="0" distL="0" distR="0">
          <wp:extent cx="819150" cy="774059"/>
          <wp:effectExtent l="19050" t="0" r="0" b="0"/>
          <wp:docPr id="3" name="Image 1" descr="http://www.maroc.ma/NR/rdonlyres/BF6F7708-974F-41F0-B79A-722098378D3E/2030/armoiri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oc.ma/NR/rdonlyres/BF6F7708-974F-41F0-B79A-722098378D3E/2030/armoiries3.jpg"/>
                  <pic:cNvPicPr>
                    <a:picLocks noChangeAspect="1" noChangeArrowheads="1"/>
                  </pic:cNvPicPr>
                </pic:nvPicPr>
                <pic:blipFill>
                  <a:blip r:embed="rId1"/>
                  <a:srcRect/>
                  <a:stretch>
                    <a:fillRect/>
                  </a:stretch>
                </pic:blipFill>
                <pic:spPr bwMode="auto">
                  <a:xfrm>
                    <a:off x="0" y="0"/>
                    <a:ext cx="821745" cy="776511"/>
                  </a:xfrm>
                  <a:prstGeom prst="rect">
                    <a:avLst/>
                  </a:prstGeom>
                  <a:noFill/>
                  <a:ln w="9525">
                    <a:noFill/>
                    <a:miter lim="800000"/>
                    <a:headEnd/>
                    <a:tailEnd/>
                  </a:ln>
                </pic:spPr>
              </pic:pic>
            </a:graphicData>
          </a:graphic>
        </wp:inline>
      </w:drawing>
    </w:r>
  </w:p>
  <w:p w:rsidR="005A148A" w:rsidRPr="00D127B5" w:rsidRDefault="002420D7" w:rsidP="001E5858">
    <w:pPr>
      <w:spacing w:after="0" w:line="240" w:lineRule="auto"/>
      <w:jc w:val="center"/>
      <w:rPr>
        <w:rFonts w:cs="Andalus"/>
        <w:noProof/>
        <w:color w:val="548DD4" w:themeColor="text2" w:themeTint="99"/>
        <w:sz w:val="28"/>
        <w:szCs w:val="28"/>
        <w:rtl/>
        <w:lang w:eastAsia="fr-FR" w:bidi="ar-MA"/>
      </w:rPr>
    </w:pPr>
    <w:r w:rsidRPr="00D127B5">
      <w:rPr>
        <w:rFonts w:cs="Andalus" w:hint="cs"/>
        <w:noProof/>
        <w:color w:val="548DD4" w:themeColor="text2" w:themeTint="99"/>
        <w:sz w:val="28"/>
        <w:szCs w:val="28"/>
        <w:rtl/>
        <w:lang w:eastAsia="fr-FR" w:bidi="ar-MA"/>
      </w:rPr>
      <w:t>وزارة الفلاحة والصيد البحري</w:t>
    </w:r>
  </w:p>
  <w:p w:rsidR="005A148A" w:rsidRPr="00D127B5" w:rsidRDefault="002420D7" w:rsidP="00825E92">
    <w:pPr>
      <w:spacing w:after="0" w:line="240" w:lineRule="auto"/>
      <w:jc w:val="center"/>
      <w:rPr>
        <w:rFonts w:asciiTheme="minorBidi" w:hAnsiTheme="minorBidi"/>
        <w:noProof/>
        <w:color w:val="548DD4" w:themeColor="text2" w:themeTint="99"/>
        <w:lang w:eastAsia="fr-FR" w:bidi="ar-MA"/>
      </w:rPr>
    </w:pPr>
    <w:r w:rsidRPr="00D127B5">
      <w:rPr>
        <w:rFonts w:asciiTheme="minorBidi" w:hAnsiTheme="minorBidi"/>
        <w:noProof/>
        <w:color w:val="548DD4" w:themeColor="text2" w:themeTint="99"/>
        <w:lang w:eastAsia="fr-FR" w:bidi="ar-MA"/>
      </w:rPr>
      <w:t>Ministère de l’Agriculture et de la Pêche Maritime</w:t>
    </w:r>
  </w:p>
  <w:p w:rsidR="005A148A" w:rsidRDefault="00FB07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5E"/>
    <w:rsid w:val="00057EA7"/>
    <w:rsid w:val="000658F9"/>
    <w:rsid w:val="000A610D"/>
    <w:rsid w:val="000F44E6"/>
    <w:rsid w:val="00150FF7"/>
    <w:rsid w:val="00195C26"/>
    <w:rsid w:val="001B0CF8"/>
    <w:rsid w:val="002420D7"/>
    <w:rsid w:val="00364D58"/>
    <w:rsid w:val="003A5EBE"/>
    <w:rsid w:val="003B7CDA"/>
    <w:rsid w:val="00400140"/>
    <w:rsid w:val="00583DC7"/>
    <w:rsid w:val="005B05B8"/>
    <w:rsid w:val="005E1B73"/>
    <w:rsid w:val="00607B72"/>
    <w:rsid w:val="006F13F7"/>
    <w:rsid w:val="007F19E7"/>
    <w:rsid w:val="0086551B"/>
    <w:rsid w:val="008F2A0A"/>
    <w:rsid w:val="00AC150F"/>
    <w:rsid w:val="00AD2C09"/>
    <w:rsid w:val="00BD3989"/>
    <w:rsid w:val="00C3096A"/>
    <w:rsid w:val="00C32538"/>
    <w:rsid w:val="00C37668"/>
    <w:rsid w:val="00CF3D0D"/>
    <w:rsid w:val="00D348A9"/>
    <w:rsid w:val="00D47087"/>
    <w:rsid w:val="00D8355E"/>
    <w:rsid w:val="00D86A50"/>
    <w:rsid w:val="00E00DD4"/>
    <w:rsid w:val="00E04107"/>
    <w:rsid w:val="00E93701"/>
    <w:rsid w:val="00E96F26"/>
    <w:rsid w:val="00FB07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CA26E-DBFE-4C46-B228-801255DA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E6"/>
    <w:pPr>
      <w:spacing w:after="240" w:line="336" w:lineRule="auto"/>
    </w:pPr>
    <w:rPr>
      <w:rFonts w:ascii="Calibri" w:eastAsia="Calibri" w:hAnsi="Calibri" w:cs="Arial"/>
    </w:rPr>
  </w:style>
  <w:style w:type="paragraph" w:styleId="Titre1">
    <w:name w:val="heading 1"/>
    <w:basedOn w:val="Normal"/>
    <w:next w:val="Normal"/>
    <w:link w:val="Titre1Car"/>
    <w:qFormat/>
    <w:rsid w:val="00D8355E"/>
    <w:pPr>
      <w:keepNext/>
      <w:spacing w:after="0" w:line="240" w:lineRule="auto"/>
      <w:jc w:val="center"/>
      <w:outlineLvl w:val="0"/>
    </w:pPr>
    <w:rPr>
      <w:rFonts w:ascii="Times New Roman" w:eastAsia="Times New Roman" w:hAnsi="Times New Roman" w:cs="Times New Roman"/>
      <w:b/>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8355E"/>
    <w:rPr>
      <w:rFonts w:ascii="Times New Roman" w:eastAsia="Times New Roman" w:hAnsi="Times New Roman" w:cs="Times New Roman"/>
      <w:b/>
      <w:sz w:val="36"/>
      <w:szCs w:val="20"/>
      <w:lang w:eastAsia="fr-FR"/>
    </w:rPr>
  </w:style>
  <w:style w:type="paragraph" w:styleId="En-tte">
    <w:name w:val="header"/>
    <w:basedOn w:val="Normal"/>
    <w:link w:val="En-tteCar"/>
    <w:uiPriority w:val="99"/>
    <w:semiHidden/>
    <w:unhideWhenUsed/>
    <w:rsid w:val="00D8355E"/>
    <w:pPr>
      <w:tabs>
        <w:tab w:val="center" w:pos="4153"/>
        <w:tab w:val="right" w:pos="8306"/>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semiHidden/>
    <w:rsid w:val="00D8355E"/>
  </w:style>
  <w:style w:type="paragraph" w:styleId="Textedebulles">
    <w:name w:val="Balloon Text"/>
    <w:basedOn w:val="Normal"/>
    <w:link w:val="TextedebullesCar"/>
    <w:uiPriority w:val="99"/>
    <w:semiHidden/>
    <w:unhideWhenUsed/>
    <w:rsid w:val="00D8355E"/>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D8355E"/>
    <w:rPr>
      <w:rFonts w:ascii="Tahoma" w:hAnsi="Tahoma" w:cs="Tahoma"/>
      <w:sz w:val="16"/>
      <w:szCs w:val="16"/>
    </w:rPr>
  </w:style>
  <w:style w:type="paragraph" w:styleId="Pieddepage">
    <w:name w:val="footer"/>
    <w:basedOn w:val="Normal"/>
    <w:link w:val="PieddepageCar"/>
    <w:uiPriority w:val="99"/>
    <w:unhideWhenUsed/>
    <w:rsid w:val="00D8355E"/>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D8355E"/>
  </w:style>
  <w:style w:type="table" w:styleId="Grilledutableau">
    <w:name w:val="Table Grid"/>
    <w:basedOn w:val="TableauNormal"/>
    <w:uiPriority w:val="59"/>
    <w:rsid w:val="00D83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MARIAM BEN LEMLIH</cp:lastModifiedBy>
  <cp:revision>3</cp:revision>
  <cp:lastPrinted>2016-07-20T08:20:00Z</cp:lastPrinted>
  <dcterms:created xsi:type="dcterms:W3CDTF">2016-07-20T08:19:00Z</dcterms:created>
  <dcterms:modified xsi:type="dcterms:W3CDTF">2016-07-20T08:20:00Z</dcterms:modified>
</cp:coreProperties>
</file>